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widowControl/>
      </w:pPr>
      <w:r>
        <w:rPr>
          <w:color w:val="000000"/>
        </w:rPr>
        <w:t xml:space="preserve">RAX</w:t>
      </w:r>
      <w:r>
        <w:rPr>
          <w:color w:val="000000"/>
        </w:rPr>
        <w:t xml:space="preserve"> </w:t>
      </w:r>
      <w:r>
        <w:rPr>
          <w:color w:val="000000"/>
        </w:rPr>
        <w:t xml:space="preserve">CQG</w:t>
      </w:r>
      <w:r>
        <w:rPr>
          <w:color w:val="000000"/>
        </w:rPr>
        <w:t xml:space="preserve"> </w:t>
      </w:r>
      <w:r>
        <w:rPr>
          <w:color w:val="000000"/>
        </w:rPr>
        <w:t xml:space="preserve">Forschungsarchitektur</w:t>
      </w:r>
    </w:p>
    <w:p>
      <w:pPr>
        <w:pStyle w:val="Subtitle"/>
        <w:widowControl/>
      </w:pPr>
      <w:r>
        <w:rPr>
          <w:color w:val="000000"/>
        </w:rPr>
        <w:t xml:space="preserve">Relational</w:t>
      </w:r>
      <w:r>
        <w:rPr>
          <w:color w:val="000000"/>
        </w:rPr>
        <w:t xml:space="preserve"> </w:t>
      </w:r>
      <w:r>
        <w:rPr>
          <w:color w:val="000000"/>
        </w:rPr>
        <w:t xml:space="preserve">kausales</w:t>
      </w:r>
      <w:r>
        <w:rPr>
          <w:color w:val="000000"/>
        </w:rPr>
        <w:t xml:space="preserve"> </w:t>
      </w:r>
      <w:r>
        <w:rPr>
          <w:color w:val="000000"/>
        </w:rPr>
        <w:t xml:space="preserve">Modell</w:t>
      </w:r>
      <w:r>
        <w:rPr>
          <w:color w:val="000000"/>
        </w:rPr>
        <w:t xml:space="preserve"> </w:t>
      </w:r>
      <w:r>
        <w:rPr>
          <w:color w:val="000000"/>
        </w:rPr>
        <w:t xml:space="preserve">und</w:t>
      </w:r>
      <w:r>
        <w:rPr>
          <w:color w:val="000000"/>
        </w:rPr>
        <w:t xml:space="preserve"> </w:t>
      </w:r>
      <w:r>
        <w:rPr>
          <w:color w:val="000000"/>
        </w:rPr>
        <w:t xml:space="preserve">effektive</w:t>
      </w:r>
      <w:r>
        <w:rPr>
          <w:color w:val="000000"/>
        </w:rPr>
        <w:t xml:space="preserve"> </w:t>
      </w:r>
      <w:r>
        <w:rPr>
          <w:color w:val="000000"/>
        </w:rPr>
        <w:t xml:space="preserve">Quantendynamik</w:t>
      </w:r>
    </w:p>
    <w:p>
      <w:pPr>
        <w:pStyle w:val="FirstParagraph"/>
        <w:widowControl/>
      </w:pPr>
      <w:r>
        <w:rPr>
          <w:color w:val="595959"/>
          <w:sz w:val="18"/>
        </w:rPr>
        <w:t xml:space="preserve">Version 0.1 · 16. Oktober 2026 · Projektinitiative Thomas Gfeller</w:t>
      </w:r>
    </w:p>
    <w:bookmarkStart w:id="20" w:name="ziel-und-wissenschaftlicher-status"/>
    <w:p>
      <w:pPr>
        <w:pStyle w:val="Heading2"/>
        <w:widowControl/>
      </w:pPr>
      <w:r>
        <w:rPr>
          <w:color w:val="000000"/>
        </w:rPr>
        <w:t xml:space="preserve">Ziel und wissenschaftlicher Status</w:t>
      </w:r>
    </w:p>
    <w:p>
      <w:pPr>
        <w:pStyle w:val="FirstParagraph"/>
        <w:widowControl/>
      </w:pPr>
      <w:r>
        <w:t xml:space="preserve">RAX-CQG verbindet das relationale Forschungsprogramm RAX mit kausalen Mengen, einer regulierten Historienamplitude und einer getrennten Rekonstruktions- und Analyseebene. Ziel ist zu untersuchen, ob eine registrierte mikroskopische Dynamik stabile, vorhersagefähige und gegebenenfalls lorentzgeometrische effektive Beschreibungen hervorbringt. Die Architektur legt die mathematischen Schnittstellen fest; sie behauptet weder eine abgeschlossene Quantengravitationstheorie noch einen Nachweis neuer Physik.</w:t>
      </w:r>
    </w:p>
    <w:p>
      <w:pPr>
        <w:pStyle w:val="BodyText"/>
        <w:widowControl/>
      </w:pPr>
      <w:r>
        <w:t xml:space="preserve">Der gewünschte Arbeitsname lautet</w:t>
      </w:r>
      <w:r>
        <w:t xml:space="preserve"> </w:t>
      </w:r>
      <w:r>
        <w:rPr>
          <w:bCs/>
          <w:b/>
        </w:rPr>
        <w:t xml:space="preserve">Maximales relational kausales Modell emergenter Quantendynamik</w:t>
      </w:r>
      <w:r>
        <w:t xml:space="preserve">. „Maximal“ bezeichnet den Umfang des Programms, keine mathematische Maximalität oder Überlegenheit. Für die wissenschaftliche Kommunikation wird die kürzere Bezeichnung</w:t>
      </w:r>
      <w:r>
        <w:t xml:space="preserve"> </w:t>
      </w:r>
      <w:r>
        <w:rPr>
          <w:bCs/>
          <w:b/>
        </w:rPr>
        <w:t xml:space="preserve">RAX-CQG Forschungsarchitektur</w:t>
      </w:r>
      <w:r>
        <w:t xml:space="preserve"> </w:t>
      </w:r>
      <w:r>
        <w:t xml:space="preserve">verwendet.</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tblHeader w:val="true"/>
          <w:cantSplit/>
        </w:trPr>
        <w:tc>
          <w:tcPr>
            <w:tcW w:type="dxa" w:w="2381"/>
            <w:vAlign w:val="center"/>
            <w:tcMar>
              <w:top w:w="80" w:type="dxa"/>
              <w:bottom w:w="80" w:type="dxa"/>
              <w:left w:w="90" w:type="dxa"/>
              <w:right w:w="90" w:type="dxa"/>
            </w:tcMar>
            <w:shd w:fill="E7EDF3"/>
          </w:tcPr>
          <w:p>
            <w:pPr>
              <w:spacing w:after="20" w:before="20" w:line="240" w:lineRule="auto"/>
              <w:jc w:val="left"/>
            </w:pPr>
            <w:r>
              <w:rPr>
                <w:b/>
                <w:sz w:val="19"/>
              </w:rPr>
              <w:t xml:space="preserve">Ebene</w:t>
            </w:r>
          </w:p>
        </w:tc>
        <w:tc>
          <w:tcPr>
            <w:tcW w:type="dxa" w:w="7257"/>
            <w:vAlign w:val="center"/>
            <w:tcMar>
              <w:top w:w="80" w:type="dxa"/>
              <w:bottom w:w="80" w:type="dxa"/>
              <w:left w:w="90" w:type="dxa"/>
              <w:right w:w="90" w:type="dxa"/>
            </w:tcMar>
            <w:shd w:fill="E7EDF3"/>
          </w:tcPr>
          <w:p>
            <w:pPr>
              <w:spacing w:after="20" w:before="20" w:line="240" w:lineRule="auto"/>
              <w:jc w:val="left"/>
            </w:pPr>
            <w:r>
              <w:rPr>
                <w:b/>
                <w:sz w:val="19"/>
              </w:rPr>
              <w:t xml:space="preserve">Was diese Fassung liefert</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Endlicher Kern</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Ordnungen, Intervallzählung, Wirkung, Amplitudensummen und positiv konstruierbare Dekohärenzfunktionale</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Methodik</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Vergröberung, prädiktive Destillation, Gegenkontrollen und getrennte Evidenzklassen</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Forschungsziele</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Dynamische Geometrieselektion, stabile Rekonstruktion, effektive Quantendynamik</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Offene Hauptfragen</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Masswahl, Randzustände, unendliche Grenzprozesse, Dimension und Einstein-Dynamik</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Evidenz</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Definitionen und elementare Herleitungen; keine neue Simulationskampagne und keine physische Messung</w:t>
            </w:r>
          </w:p>
        </w:tc>
      </w:tr>
    </w:tbl>
    <w:p>
      <w:pPr>
        <w:pStyle w:val="BodyText"/>
        <w:widowControl/>
      </w:pPr>
      <w:r>
        <w:t xml:space="preserve">Die wichtigsten Trennungen sind verbindlich: Eine angenommene Kausalordnung ist keine emergente Kausalität. Eine quantenmechanische Eingangsstruktur ist keine Herleitung der Quantenmechanik. Ein unterdrückter KR-Sektor beweist keine vierdimensionale Mannigfaltigkeitsdominanz. Ein Spektrum bestimmt eine Geometrie im Allgemeinen nicht eindeutig.</w:t>
      </w:r>
    </w:p>
    <w:p>
      <w:pPr>
        <w:pStyle w:val="BodyText"/>
        <w:widowControl/>
      </w:pPr>
      <w:r>
        <w:t xml:space="preserve">Diese Fassung führt die Regeln des RAX-Forschungsprogramms v0.1 vom 14. Oktober 2026 fort: neutrale Kandidatenprüfung, nichttriviale Reduktion, neue Bestätigungsdaten und getrennte Geometrie- und Singularitätsgates. Die hier vergebenen Kennungen CQG ersetzen keine vorhandenen RAX-U1- oder X6-Testkennungen.</w:t>
      </w:r>
    </w:p>
    <w:p>
      <w:pPr>
        <w:pStyle w:val="BodyText"/>
        <w:widowControl/>
      </w:pPr>
      <w:r>
        <w:rPr>
          <w:bCs/>
          <w:b/>
        </w:rPr>
        <w:t xml:space="preserve">Leitfrage:</w:t>
      </w:r>
      <w:r>
        <w:t xml:space="preserve"> </w:t>
      </w:r>
      <w:r>
        <w:t xml:space="preserve">Unter welchen expliziten Annahmen konzentrieren sich physikalisch interpretierbare makroskopische Vorhersagen auf einen Bereich, der eine eindeutige und stabile lorentzsche Rekonstruktion erlaubt?</w:t>
      </w:r>
    </w:p>
    <w:bookmarkEnd w:id="20"/>
    <w:bookmarkStart w:id="21" w:name="modellobjekte-und-geltungsbereich"/>
    <w:p>
      <w:pPr>
        <w:pStyle w:val="Heading1"/>
        <w:pageBreakBefore/>
        <w:widowControl/>
      </w:pPr>
      <w:r>
        <w:rPr>
          <w:color w:val="000000"/>
        </w:rPr>
        <w:t xml:space="preserve">1 Modellobjekte und Geltungsbereich</w:t>
      </w:r>
    </w:p>
    <w:p>
      <w:pPr>
        <w:pStyle w:val="FirstParagraph"/>
        <w:widowControl/>
      </w:pPr>
      <w:r>
        <w:t xml:space="preserve">Eine allgemeine relationale Mikrostruktur ist</w:t>
      </w:r>
      <w:r>
        <w:t xml:space="preserve"> </w:t>
      </w:r>
      <m:oMath>
        <m:r>
          <m:t>R</m:t>
        </m:r>
        <m:r>
          <m:rPr>
            <m:sty m:val="p"/>
          </m:rPr>
          <m:t>=</m:t>
        </m:r>
        <m:d>
          <m:dPr>
            <m:begChr m:val="("/>
            <m:endChr m:val=")"/>
            <m:sepChr m:val=""/>
            <m:grow/>
          </m:dPr>
          <m:e>
            <m:r>
              <m:t>V</m:t>
            </m:r>
            <m:r>
              <m:rPr>
                <m:sty m:val="p"/>
              </m:rPr>
              <m:t>,</m:t>
            </m:r>
            <m:r>
              <m:rPr>
                <m:sty m:val="p"/>
                <m:scr m:val="script"/>
              </m:rPr>
              <m:t>R</m:t>
            </m:r>
            <m:r>
              <m:rPr>
                <m:sty m:val="p"/>
              </m:rPr>
              <m:t>,</m:t>
            </m:r>
            <m:r>
              <m:t>ξ</m:t>
            </m:r>
          </m:e>
        </m:d>
      </m:oMath>
      <w:r>
        <w:t xml:space="preserve"> </w:t>
      </w:r>
      <w:r>
        <w:t xml:space="preserve">mit Trägermenge</w:t>
      </w:r>
      <w:r>
        <w:t xml:space="preserve"> </w:t>
      </w:r>
      <m:oMath>
        <m:r>
          <m:t>V</m:t>
        </m:r>
      </m:oMath>
      <w:r>
        <w:t xml:space="preserve">, einer Familie benannter Relationen</w:t>
      </w:r>
      <w:r>
        <w:t xml:space="preserve"> </w:t>
      </w:r>
      <m:oMath>
        <m:r>
          <m:rPr>
            <m:sty m:val="p"/>
            <m:scr m:val="script"/>
          </m:rPr>
          <m:t>R</m:t>
        </m:r>
      </m:oMath>
      <w:r>
        <w:t xml:space="preserve"> </w:t>
      </w:r>
      <w:r>
        <w:t xml:space="preserve">und ausdrücklich deklarierten Zusatzdaten</w:t>
      </w:r>
      <w:r>
        <w:t xml:space="preserve"> </w:t>
      </w:r>
      <m:oMath>
        <m:r>
          <m:t>ξ</m:t>
        </m:r>
      </m:oMath>
      <w:r>
        <w:t xml:space="preserve">. RAX-CQG wählt daraus zunächst ein</w:t>
      </w:r>
      <w:r>
        <w:t xml:space="preserve"> </w:t>
      </w:r>
      <w:r>
        <w:rPr>
          <w:bCs/>
          <w:b/>
        </w:rPr>
        <w:t xml:space="preserve">kausales Profil</w:t>
      </w:r>
      <w:r>
        <w:t xml:space="preserve">:</w:t>
      </w:r>
    </w:p>
    <w:p>
      <w:pPr>
        <w:pStyle w:val="BodyText"/>
        <w:keepLines/>
        <w:widowControl/>
        <w:spacing w:before="60" w:after="160"/>
      </w:pPr>
      <m:oMathPara>
        <m:oMathParaPr>
          <m:jc m:val="center"/>
        </m:oMathParaPr>
        <m:oMath>
          <m:r>
            <m:t>C</m:t>
          </m:r>
          <m:r>
            <m:rPr>
              <m:sty m:val="p"/>
            </m:rPr>
            <m:t>=</m:t>
          </m:r>
          <m:d>
            <m:dPr>
              <m:begChr m:val="("/>
              <m:endChr m:val=")"/>
              <m:sepChr m:val=""/>
              <m:grow/>
            </m:dPr>
            <m:e>
              <m:r>
                <m:t>V</m:t>
              </m:r>
              <m:r>
                <m:rPr>
                  <m:sty m:val="p"/>
                </m:rPr>
                <m:t>,</m:t>
              </m:r>
              <m:r>
                <m:rPr>
                  <m:sty m:val="p"/>
                </m:rPr>
                <m:t>≺</m:t>
              </m:r>
            </m:e>
          </m:d>
          <m:r>
            <m:rPr>
              <m:sty m:val="p"/>
            </m:rPr>
            <m:t>,</m:t>
          </m:r>
          <m:r>
            <m:t>  </m:t>
          </m:r>
          <m:r>
            <m:t>x</m:t>
          </m:r>
          <m:r>
            <m:rPr>
              <m:sty m:val="p"/>
            </m:rPr>
            <m:t>⊀</m:t>
          </m:r>
          <m:r>
            <m:t>x</m:t>
          </m:r>
          <m:r>
            <m:rPr>
              <m:sty m:val="p"/>
            </m:rPr>
            <m:t>,</m:t>
          </m:r>
          <m:r>
            <m:t>  </m:t>
          </m:r>
          <m:d>
            <m:dPr>
              <m:begChr m:val="("/>
              <m:endChr m:val=")"/>
              <m:sepChr m:val=""/>
              <m:grow/>
            </m:dPr>
            <m:e>
              <m:r>
                <m:t>x</m:t>
              </m:r>
              <m:r>
                <m:rPr>
                  <m:sty m:val="p"/>
                </m:rPr>
                <m:t>≺</m:t>
              </m:r>
              <m:r>
                <m:t>y</m:t>
              </m:r>
              <m:r>
                <m:rPr>
                  <m:sty m:val="p"/>
                </m:rPr>
                <m:t>∧</m:t>
              </m:r>
              <m:r>
                <m:t>y</m:t>
              </m:r>
              <m:r>
                <m:rPr>
                  <m:sty m:val="p"/>
                </m:rPr>
                <m:t>≺</m:t>
              </m:r>
              <m:r>
                <m:t>z</m:t>
              </m:r>
            </m:e>
          </m:d>
          <m:r>
            <m:rPr>
              <m:sty m:val="p"/>
            </m:rPr>
            <m:t>⇒</m:t>
          </m:r>
          <m:r>
            <m:t>x</m:t>
          </m:r>
          <m:r>
            <m:rPr>
              <m:sty m:val="p"/>
            </m:rPr>
            <m:t>≺</m:t>
          </m:r>
          <m:r>
            <m:t>z</m:t>
          </m:r>
          <m:r>
            <m:rPr>
              <m:sty m:val="p"/>
            </m:rPr>
            <m:t>.</m:t>
          </m:r>
        </m:oMath>
      </m:oMathPara>
    </w:p>
    <w:p>
      <w:pPr>
        <w:pStyle w:val="FirstParagraph"/>
        <w:widowControl/>
      </w:pPr>
      <w:r>
        <w:t xml:space="preserve">Die strikte Ordnung ist damit asymmetrisch und azyklisch. Lokale Endlichkeit bedeutet</w:t>
      </w:r>
    </w:p>
    <w:p>
      <w:pPr>
        <w:pStyle w:val="BodyText"/>
        <w:keepLines/>
        <w:widowControl/>
        <w:spacing w:before="60" w:after="160"/>
      </w:pPr>
      <m:oMathPara>
        <m:oMathParaPr>
          <m:jc m:val="center"/>
        </m:oMathParaPr>
        <m:oMath>
          <m:r>
            <m:t>I</m:t>
          </m:r>
          <m:d>
            <m:dPr>
              <m:begChr m:val="("/>
              <m:endChr m:val=")"/>
              <m:sepChr m:val=""/>
              <m:grow/>
            </m:dPr>
            <m:e>
              <m:r>
                <m:t>x</m:t>
              </m:r>
              <m:r>
                <m:rPr>
                  <m:sty m:val="p"/>
                </m:rPr>
                <m:t>,</m:t>
              </m:r>
              <m:r>
                <m:t>y</m:t>
              </m:r>
            </m:e>
          </m:d>
          <m:r>
            <m:rPr>
              <m:sty m:val="p"/>
            </m:rPr>
            <m:t>=</m:t>
          </m:r>
          <m:r>
            <m:rPr>
              <m:sty m:val="p"/>
            </m:rPr>
            <m:t>{</m:t>
          </m:r>
          <m:r>
            <m:t>z</m:t>
          </m:r>
          <m:r>
            <m:rPr>
              <m:sty m:val="p"/>
            </m:rPr>
            <m:t>∈</m:t>
          </m:r>
          <m:r>
            <m:t>V</m:t>
          </m:r>
          <m:r>
            <m:rPr>
              <m:sty m:val="p"/>
            </m:rPr>
            <m:t>:</m:t>
          </m:r>
          <m:r>
            <m:t>x</m:t>
          </m:r>
          <m:r>
            <m:rPr>
              <m:sty m:val="p"/>
            </m:rPr>
            <m:t>≺</m:t>
          </m:r>
          <m:r>
            <m:t>z</m:t>
          </m:r>
          <m:r>
            <m:rPr>
              <m:sty m:val="p"/>
            </m:rPr>
            <m:t>≺</m:t>
          </m:r>
          <m:r>
            <m:t>y</m:t>
          </m:r>
          <m:r>
            <m:rPr>
              <m:sty m:val="p"/>
            </m:rPr>
            <m:t>}</m:t>
          </m:r>
          <m:r>
            <m:rPr>
              <m:sty m:val="p"/>
            </m:rPr>
            <m:t>,</m:t>
          </m:r>
          <m:r>
            <m:t>  </m:t>
          </m:r>
          <m:d>
            <m:dPr>
              <m:begChr m:val="|"/>
              <m:endChr m:val="|"/>
              <m:sepChr m:val=""/>
              <m:grow/>
            </m:dPr>
            <m:e>
              <m:r>
                <m:t>I</m:t>
              </m:r>
              <m:d>
                <m:dPr>
                  <m:begChr m:val="("/>
                  <m:endChr m:val=")"/>
                  <m:sepChr m:val=""/>
                  <m:grow/>
                </m:dPr>
                <m:e>
                  <m:r>
                    <m:t>x</m:t>
                  </m:r>
                  <m:r>
                    <m:rPr>
                      <m:sty m:val="p"/>
                    </m:rPr>
                    <m:t>,</m:t>
                  </m:r>
                  <m:r>
                    <m:t>y</m:t>
                  </m:r>
                </m:e>
              </m:d>
            </m:e>
          </m:d>
          <m:r>
            <m:rPr>
              <m:sty m:val="p"/>
            </m:rPr>
            <m:t>&lt;</m:t>
          </m:r>
          <m:r>
            <m:rPr>
              <m:sty m:val="p"/>
            </m:rPr>
            <m:t>∞</m:t>
          </m:r>
          <m:r>
            <m:rPr>
              <m:sty m:val="p"/>
            </m:rPr>
            <m:t>.</m:t>
          </m:r>
        </m:oMath>
      </m:oMathPara>
    </w:p>
    <w:p>
      <w:pPr>
        <w:pStyle w:val="FirstParagraph"/>
        <w:widowControl/>
      </w:pPr>
      <w:r>
        <w:t xml:space="preserve">Bei endlichem</w:t>
      </w:r>
      <w:r>
        <w:t xml:space="preserve"> </w:t>
      </w:r>
      <m:oMath>
        <m:r>
          <m:t>V</m:t>
        </m:r>
      </m:oMath>
      <w:r>
        <w:t xml:space="preserve"> </w:t>
      </w:r>
      <w:r>
        <w:t xml:space="preserve">ist die letzte Bedingung automatisch erfüllt; ihre nichttriviale Bedeutung entsteht erst für unendliche Historien. Ein endlicher DAG repräsentiert einen Causal Set erst zusammen mit seiner transitiven Hülle. Eine Eingabekantenliste muss deshalb als Linkliste oder vollständige Ordnungsrelation gekennzeichnet sein.</w:t>
      </w:r>
    </w:p>
    <w:p>
      <w:pPr>
        <w:pStyle w:val="BodyText"/>
        <w:widowControl/>
      </w:pPr>
      <w:r>
        <w:t xml:space="preserve">Für</w:t>
      </w:r>
      <w:r>
        <w:t xml:space="preserve"> </w:t>
      </w:r>
      <m:oMath>
        <m:r>
          <m:t>N</m:t>
        </m:r>
        <m:r>
          <m:rPr>
            <m:sty m:val="p"/>
          </m:rPr>
          <m:t>≥</m:t>
        </m:r>
        <m:r>
          <m:t>1</m:t>
        </m:r>
      </m:oMath>
      <w:r>
        <w:t xml:space="preserve"> </w:t>
      </w:r>
      <w:r>
        <w:t xml:space="preserve">bezeichnet</w:t>
      </w:r>
      <w:r>
        <w:t xml:space="preserve"> </w:t>
      </w:r>
      <m:oMath>
        <m:sSub>
          <m:e>
            <m:r>
              <m:t>Ω</m:t>
            </m:r>
          </m:e>
          <m:sub>
            <m:r>
              <m:t>N</m:t>
            </m:r>
          </m:sub>
        </m:sSub>
      </m:oMath>
      <w:r>
        <w:t xml:space="preserve"> </w:t>
      </w:r>
      <w:r>
        <w:t xml:space="preserve">die endliche Menge der Isomorphieklassen von Ordnungen mit</w:t>
      </w:r>
      <w:r>
        <w:t xml:space="preserve"> </w:t>
      </w:r>
      <m:oMath>
        <m:r>
          <m:t>N</m:t>
        </m:r>
      </m:oMath>
      <w:r>
        <w:t xml:space="preserve"> </w:t>
      </w:r>
      <w:r>
        <w:t xml:space="preserve">Elementen. Physikalische Grössen müssen unter bijektiver Umbenennung invariant sein. Die zeitliche Orientierung gehört zum Profil; Ordnungsumkehr wird nicht automatisch als Eichäquivalenz behandelt.</w:t>
      </w:r>
    </w:p>
    <w:p>
      <w:pPr>
        <w:pStyle w:val="BodyText"/>
        <w:widowControl/>
      </w:pPr>
      <w:r>
        <w:t xml:space="preserve">Der Kern eines registrierten Modells ist das Paket</w:t>
      </w:r>
    </w:p>
    <w:p>
      <w:pPr>
        <w:pStyle w:val="BodyText"/>
        <w:keepLines/>
        <w:widowControl/>
        <w:spacing w:before="60" w:after="160"/>
      </w:pPr>
      <m:oMathPara>
        <m:oMathParaPr>
          <m:jc m:val="center"/>
        </m:oMathParaPr>
        <m:oMath>
          <m:sSub>
            <m:e>
              <m:r>
                <m:rPr>
                  <m:sty m:val="p"/>
                  <m:scr m:val="fraktur"/>
                </m:rPr>
                <m:t>M</m:t>
              </m:r>
            </m:e>
            <m:sub>
              <m:r>
                <m:t>N</m:t>
              </m:r>
            </m:sub>
          </m:sSub>
          <m:r>
            <m:rPr>
              <m:sty m:val="p"/>
            </m:rPr>
            <m:t>=</m:t>
          </m:r>
          <m:d>
            <m:dPr>
              <m:begChr m:val="("/>
              <m:endChr m:val=")"/>
              <m:sepChr m:val=""/>
              <m:grow/>
            </m:dPr>
            <m:e>
              <m:sSub>
                <m:e>
                  <m:r>
                    <m:t>Ω</m:t>
                  </m:r>
                </m:e>
                <m:sub>
                  <m:r>
                    <m:t>N</m:t>
                  </m:r>
                </m:sub>
              </m:sSub>
              <m:r>
                <m:rPr>
                  <m:sty m:val="p"/>
                </m:rPr>
                <m:t>,</m:t>
              </m:r>
              <m:sSub>
                <m:e>
                  <m:r>
                    <m:rPr>
                      <m:sty m:val="p"/>
                      <m:scr m:val="script"/>
                    </m:rPr>
                    <m:t>E</m:t>
                  </m:r>
                </m:e>
                <m:sub>
                  <m:r>
                    <m:t>N</m:t>
                  </m:r>
                </m:sub>
              </m:sSub>
              <m:r>
                <m:rPr>
                  <m:sty m:val="p"/>
                </m:rPr>
                <m:t>,</m:t>
              </m:r>
              <m:sSub>
                <m:e>
                  <m:r>
                    <m:t>w</m:t>
                  </m:r>
                </m:e>
                <m:sub>
                  <m:r>
                    <m:t>N</m:t>
                  </m:r>
                </m:sub>
              </m:sSub>
              <m:r>
                <m:rPr>
                  <m:sty m:val="p"/>
                </m:rPr>
                <m:t>,</m:t>
              </m:r>
              <m:sSub>
                <m:e>
                  <m:r>
                    <m:t>s</m:t>
                  </m:r>
                </m:e>
                <m:sub>
                  <m:r>
                    <m:t>N</m:t>
                  </m:r>
                </m:sub>
              </m:sSub>
              <m:r>
                <m:rPr>
                  <m:sty m:val="p"/>
                </m:rPr>
                <m:t>,</m:t>
              </m:r>
              <m:sSub>
                <m:e>
                  <m:r>
                    <m:rPr>
                      <m:sty m:val="p"/>
                      <m:scr m:val="script"/>
                    </m:rPr>
                    <m:t>D</m:t>
                  </m:r>
                </m:e>
                <m:sub>
                  <m:r>
                    <m:t>N</m:t>
                  </m:r>
                </m:sub>
              </m:sSub>
              <m:r>
                <m:rPr>
                  <m:sty m:val="p"/>
                </m:rPr>
                <m:t>,</m:t>
              </m:r>
              <m:sSub>
                <m:e>
                  <m:r>
                    <m:rPr>
                      <m:sty m:val="p"/>
                      <m:scr m:val="script"/>
                    </m:rPr>
                    <m:t>O</m:t>
                  </m:r>
                </m:e>
                <m:sub>
                  <m:r>
                    <m:t>N</m:t>
                  </m:r>
                </m:sub>
              </m:sSub>
              <m:r>
                <m:rPr>
                  <m:sty m:val="p"/>
                </m:rPr>
                <m:t>,</m:t>
              </m:r>
              <m:sSub>
                <m:e>
                  <m:r>
                    <m:rPr>
                      <m:sty m:val="p"/>
                      <m:scr m:val="script"/>
                    </m:rPr>
                    <m:t>C</m:t>
                  </m:r>
                </m:e>
                <m:sub>
                  <m:r>
                    <m:t>N</m:t>
                  </m:r>
                </m:sub>
              </m:sSub>
              <m:r>
                <m:rPr>
                  <m:sty m:val="p"/>
                </m:rPr>
                <m:t>,</m:t>
              </m:r>
              <m:r>
                <m:rPr>
                  <m:sty m:val="p"/>
                  <m:scr m:val="fraktur"/>
                </m:rPr>
                <m:t>K</m:t>
              </m:r>
            </m:e>
          </m:d>
          <m:r>
            <m:rPr>
              <m:sty m:val="p"/>
            </m:rPr>
            <m:t>.</m:t>
          </m:r>
        </m:oMath>
      </m:oMathPara>
    </w:p>
    <w:p>
      <w:pPr>
        <w:pStyle w:val="FirstParagraph"/>
        <w:widowControl/>
      </w:pPr>
      <w:r>
        <w:t xml:space="preserve">Hier sind</w:t>
      </w:r>
      <w:r>
        <w:t xml:space="preserve"> </w:t>
      </w:r>
      <m:oMath>
        <m:sSub>
          <m:e>
            <m:r>
              <m:rPr>
                <m:sty m:val="p"/>
                <m:scr m:val="script"/>
              </m:rPr>
              <m:t>E</m:t>
            </m:r>
          </m:e>
          <m:sub>
            <m:r>
              <m:t>N</m:t>
            </m:r>
          </m:sub>
        </m:sSub>
        <m:r>
          <m:rPr>
            <m:sty m:val="p"/>
          </m:rPr>
          <m:t>=</m:t>
        </m:r>
        <m:sSup>
          <m:e>
            <m:r>
              <m:t>2</m:t>
            </m:r>
          </m:e>
          <m:sup>
            <m:sSub>
              <m:e>
                <m:r>
                  <m:t>Ω</m:t>
                </m:r>
              </m:e>
              <m:sub>
                <m:r>
                  <m:t>N</m:t>
                </m:r>
              </m:sub>
            </m:sSub>
          </m:sup>
        </m:sSup>
      </m:oMath>
      <w:r>
        <w:t xml:space="preserve"> </w:t>
      </w:r>
      <w:r>
        <w:t xml:space="preserve">die endlichen Ereignisse,</w:t>
      </w:r>
      <w:r>
        <w:t xml:space="preserve"> </w:t>
      </w:r>
      <m:oMath>
        <m:sSub>
          <m:e>
            <m:r>
              <m:t>w</m:t>
            </m:r>
          </m:e>
          <m:sub>
            <m:r>
              <m:t>N</m:t>
            </m:r>
          </m:sub>
        </m:sSub>
      </m:oMath>
      <w:r>
        <w:t xml:space="preserve"> </w:t>
      </w:r>
      <w:r>
        <w:t xml:space="preserve">das Zählgewicht,</w:t>
      </w:r>
      <w:r>
        <w:t xml:space="preserve"> </w:t>
      </w:r>
      <m:oMath>
        <m:sSub>
          <m:e>
            <m:r>
              <m:t>s</m:t>
            </m:r>
          </m:e>
          <m:sub>
            <m:r>
              <m:t>N</m:t>
            </m:r>
          </m:sub>
        </m:sSub>
        <m:r>
          <m:rPr>
            <m:sty m:val="p"/>
          </m:rPr>
          <m:t>=</m:t>
        </m:r>
        <m:sSub>
          <m:e>
            <m:r>
              <m:t>S</m:t>
            </m:r>
          </m:e>
          <m:sub>
            <m:r>
              <m:t>N</m:t>
            </m:r>
          </m:sub>
        </m:sSub>
        <m:r>
          <m:rPr>
            <m:sty m:val="p"/>
          </m:rPr>
          <m:t>/</m:t>
        </m:r>
        <m:r>
          <m:rPr>
            <m:sty m:val="p"/>
          </m:rPr>
          <m:t>ℏ</m:t>
        </m:r>
      </m:oMath>
      <w:r>
        <w:t xml:space="preserve"> </w:t>
      </w:r>
      <w:r>
        <w:t xml:space="preserve">die dimensionslose Wirkung,</w:t>
      </w:r>
      <w:r>
        <w:t xml:space="preserve"> </w:t>
      </w:r>
      <m:oMath>
        <m:sSub>
          <m:e>
            <m:r>
              <m:rPr>
                <m:sty m:val="p"/>
                <m:scr m:val="script"/>
              </m:rPr>
              <m:t>D</m:t>
            </m:r>
          </m:e>
          <m:sub>
            <m:r>
              <m:t>N</m:t>
            </m:r>
          </m:sub>
        </m:sSub>
      </m:oMath>
      <w:r>
        <w:t xml:space="preserve"> </w:t>
      </w:r>
      <w:r>
        <w:t xml:space="preserve">ein Dekohärenzfunktional,</w:t>
      </w:r>
      <w:r>
        <w:t xml:space="preserve"> </w:t>
      </w:r>
      <m:oMath>
        <m:sSub>
          <m:e>
            <m:r>
              <m:rPr>
                <m:sty m:val="p"/>
                <m:scr m:val="script"/>
              </m:rPr>
              <m:t>O</m:t>
            </m:r>
          </m:e>
          <m:sub>
            <m:r>
              <m:t>N</m:t>
            </m:r>
          </m:sub>
        </m:sSub>
      </m:oMath>
      <w:r>
        <w:t xml:space="preserve"> </w:t>
      </w:r>
      <w:r>
        <w:t xml:space="preserve">die registrierten Observablen,</w:t>
      </w:r>
      <w:r>
        <w:t xml:space="preserve"> </w:t>
      </w:r>
      <m:oMath>
        <m:sSub>
          <m:e>
            <m:r>
              <m:rPr>
                <m:sty m:val="p"/>
                <m:scr m:val="script"/>
              </m:rPr>
              <m:t>C</m:t>
            </m:r>
          </m:e>
          <m:sub>
            <m:r>
              <m:t>N</m:t>
            </m:r>
          </m:sub>
        </m:sSub>
      </m:oMath>
      <w:r>
        <w:t xml:space="preserve"> </w:t>
      </w:r>
      <w:r>
        <w:t xml:space="preserve">die zugelassenen Vergröberungen und</w:t>
      </w:r>
      <w:r>
        <w:t xml:space="preserve"> </w:t>
      </w:r>
      <m:oMath>
        <m:r>
          <m:rPr>
            <m:sty m:val="p"/>
            <m:scr m:val="fraktur"/>
          </m:rPr>
          <m:t>K</m:t>
        </m:r>
      </m:oMath>
      <w:r>
        <w:t xml:space="preserve"> </w:t>
      </w:r>
      <w:r>
        <w:t xml:space="preserve">die Klasse möglicher effektiver Geometrien. Rand- und Materiedaten erweitern</w:t>
      </w:r>
      <w:r>
        <w:t xml:space="preserve"> </w:t>
      </w:r>
      <m:oMath>
        <m:sSub>
          <m:e>
            <m:r>
              <m:t>Ω</m:t>
            </m:r>
          </m:e>
          <m:sub>
            <m:r>
              <m:t>N</m:t>
            </m:r>
          </m:sub>
        </m:sSub>
      </m:oMath>
      <w:r>
        <w:t xml:space="preserve"> </w:t>
      </w:r>
      <w:r>
        <w:t xml:space="preserve">und benötigen eigene Masse und Integrationsregeln.</w:t>
      </w:r>
    </w:p>
    <w:p>
      <w:pPr>
        <w:pStyle w:val="BodyText"/>
        <w:widowControl/>
      </w:pPr>
      <w:r>
        <w:t xml:space="preserve">Die Ordnung beschreibt zunächst die mögliche kausale Erreichbarkeit. Sie liefert weder von selbst eine Interventionssemantik noch ein Feldgesetz, eine Metrik oder eine Born-Regel. Die Zuordnung „ein Element entspricht einem Volumenquantum“ ist eine zusätzliche Brückenannahme mit Dichteparameter.</w:t>
      </w:r>
    </w:p>
    <w:p>
      <w:pPr>
        <w:pStyle w:val="BodyText"/>
        <w:widowControl/>
      </w:pPr>
      <w:r>
        <w:rPr>
          <w:bCs/>
          <w:b/>
        </w:rPr>
        <w:t xml:space="preserve">Zwei getrennte Profile:</w:t>
      </w:r>
      <w:r>
        <w:t xml:space="preserve"> </w:t>
      </w:r>
      <w:r>
        <w:t xml:space="preserve">CQG-C nimmt die Kausalordnung an. CQG-R untersucht später ihre Entstehung aus allgemeineren Relationen; dazu braucht es einen grösseren Zustandsraum und ein Auswahlgesetz. Erfolge von CQG-C dürfen nicht als Erfolge von CQG-R berichtet werden.</w:t>
      </w:r>
    </w:p>
    <w:bookmarkEnd w:id="21"/>
    <w:bookmarkStart w:id="22" w:name="skalen-und-referenzgeometrien"/>
    <w:p>
      <w:pPr>
        <w:pStyle w:val="Heading1"/>
        <w:pageBreakBefore/>
        <w:widowControl/>
      </w:pPr>
      <w:r>
        <w:rPr>
          <w:color w:val="000000"/>
        </w:rPr>
        <w:t xml:space="preserve">2 Skalen und Referenzgeometrien</w:t>
      </w:r>
    </w:p>
    <w:p>
      <w:pPr>
        <w:pStyle w:val="FirstParagraph"/>
        <w:widowControl/>
      </w:pPr>
      <w:r>
        <w:t xml:space="preserve">Eine glatte Referenz ist ein zeitlich orientierter lorentzischer Raum</w:t>
      </w:r>
      <w:r>
        <w:t xml:space="preserve"> </w:t>
      </w:r>
      <m:oMath>
        <m:d>
          <m:dPr>
            <m:begChr m:val="("/>
            <m:endChr m:val=")"/>
            <m:sepChr m:val=""/>
            <m:grow/>
          </m:dPr>
          <m:e>
            <m:r>
              <m:t>M</m:t>
            </m:r>
            <m:r>
              <m:rPr>
                <m:sty m:val="p"/>
              </m:rPr>
              <m:t>,</m:t>
            </m:r>
            <m:r>
              <m:t>g</m:t>
            </m:r>
          </m:e>
        </m:d>
      </m:oMath>
      <w:r>
        <w:t xml:space="preserve"> </w:t>
      </w:r>
      <w:r>
        <w:t xml:space="preserve">mit Signatur</w:t>
      </w:r>
      <w:r>
        <w:t xml:space="preserve"> </w:t>
      </w:r>
      <m:oMath>
        <m:d>
          <m:dPr>
            <m:begChr m:val="("/>
            <m:endChr m:val=")"/>
            <m:sepChr m:val=""/>
            <m:grow/>
          </m:dPr>
          <m:e>
            <m:r>
              <m:rPr>
                <m:sty m:val="p"/>
              </m:rPr>
              <m:t>−</m:t>
            </m:r>
            <m:r>
              <m:rPr>
                <m:sty m:val="p"/>
              </m:rPr>
              <m:t>,</m:t>
            </m:r>
            <m:r>
              <m:rPr>
                <m:sty m:val="p"/>
              </m:rPr>
              <m:t>+</m:t>
            </m:r>
            <m:r>
              <m:rPr>
                <m:sty m:val="p"/>
              </m:rPr>
              <m:t>,</m:t>
            </m:r>
            <m:r>
              <m:rPr>
                <m:sty m:val="p"/>
              </m:rPr>
              <m:t>+</m:t>
            </m:r>
            <m:r>
              <m:rPr>
                <m:sty m:val="p"/>
              </m:rPr>
              <m:t>,</m:t>
            </m:r>
            <m:r>
              <m:rPr>
                <m:sty m:val="p"/>
              </m:rPr>
              <m:t>+</m:t>
            </m:r>
          </m:e>
        </m:d>
      </m:oMath>
      <w:r>
        <w:t xml:space="preserve"> </w:t>
      </w:r>
      <w:r>
        <w:t xml:space="preserve">im vierdimensionalen Profil. Eine endliche kausal konvexe Beobachtungsregion besitzt Volumen</w:t>
      </w:r>
      <w:r>
        <w:t xml:space="preserve"> </w:t>
      </w:r>
      <m:oMath>
        <m:sSub>
          <m:e>
            <m:r>
              <m:t>V</m:t>
            </m:r>
          </m:e>
          <m:sub>
            <m:r>
              <m:t>g</m:t>
            </m:r>
          </m:sub>
        </m:sSub>
      </m:oMath>
      <w:r>
        <w:t xml:space="preserve">. Poisson-Sprinkling mit Dichte</w:t>
      </w:r>
      <w:r>
        <w:t xml:space="preserve"> </w:t>
      </w:r>
      <m:oMath>
        <m:r>
          <m:t>ρ</m:t>
        </m:r>
      </m:oMath>
      <w:r>
        <w:t xml:space="preserve"> </w:t>
      </w:r>
      <w:r>
        <w:t xml:space="preserve">ergibt</w:t>
      </w:r>
    </w:p>
    <w:p>
      <w:pPr>
        <w:pStyle w:val="BodyText"/>
        <w:keepLines/>
        <w:widowControl/>
        <w:spacing w:before="60" w:after="160"/>
      </w:pPr>
      <m:oMathPara>
        <m:oMathParaPr>
          <m:jc m:val="center"/>
        </m:oMathParaPr>
        <m:oMath>
          <m:r>
            <m:t>N</m:t>
          </m:r>
          <m:r>
            <m:rPr>
              <m:sty m:val="p"/>
            </m:rPr>
            <m:t>∼</m:t>
          </m:r>
          <m:r>
            <m:rPr>
              <m:sty m:val="p"/>
            </m:rPr>
            <m:t>Poisson</m:t>
          </m:r>
          <m:d>
            <m:dPr>
              <m:begChr m:val="("/>
              <m:endChr m:val=")"/>
              <m:sepChr m:val=""/>
              <m:grow/>
            </m:dPr>
            <m:e>
              <m:r>
                <m:t>ρ</m:t>
              </m:r>
              <m:sSub>
                <m:e>
                  <m:r>
                    <m:t>V</m:t>
                  </m:r>
                </m:e>
                <m:sub>
                  <m:r>
                    <m:t>g</m:t>
                  </m:r>
                </m:sub>
              </m:sSub>
            </m:e>
          </m:d>
          <m:r>
            <m:rPr>
              <m:sty m:val="p"/>
            </m:rPr>
            <m:t>,</m:t>
          </m:r>
          <m:r>
            <m:t>  </m:t>
          </m:r>
          <m:r>
            <m:rPr>
              <m:sty m:val="p"/>
            </m:rPr>
            <m:t>ℓ</m:t>
          </m:r>
          <m:r>
            <m:rPr>
              <m:sty m:val="p"/>
            </m:rPr>
            <m:t>=</m:t>
          </m:r>
          <m:sSup>
            <m:e>
              <m:r>
                <m:t>ρ</m:t>
              </m:r>
            </m:e>
            <m:sup>
              <m:r>
                <m:rPr>
                  <m:sty m:val="p"/>
                </m:rPr>
                <m:t>−</m:t>
              </m:r>
              <m:r>
                <m:t>1</m:t>
              </m:r>
              <m:r>
                <m:rPr>
                  <m:sty m:val="p"/>
                </m:rPr>
                <m:t>/</m:t>
              </m:r>
              <m:r>
                <m:t>d</m:t>
              </m:r>
            </m:sup>
          </m:sSup>
          <m:r>
            <m:rPr>
              <m:sty m:val="p"/>
            </m:rPr>
            <m:t>.</m:t>
          </m:r>
        </m:oMath>
      </m:oMathPara>
    </w:p>
    <w:p>
      <w:pPr>
        <w:pStyle w:val="FirstParagraph"/>
        <w:widowControl/>
      </w:pPr>
      <w:r>
        <w:t xml:space="preserve">Bedingt auf</w:t>
      </w:r>
      <w:r>
        <w:t xml:space="preserve"> </w:t>
      </w:r>
      <m:oMath>
        <m:r>
          <m:t>N</m:t>
        </m:r>
      </m:oMath>
      <w:r>
        <w:t xml:space="preserve"> </w:t>
      </w:r>
      <w:r>
        <w:t xml:space="preserve">werden die Punkte unabhängig nach dem normierten Volumenmass gezogen. Ihre chronologische Ordnung erzeugt den Kontroll-Causal-Set. Bei glatten Referenzen haben exakt nullseparierte Zufallspaare Mass null; numerische Grenzfälle benötigen dennoch eine dokumentierte Regel. Koordinaten dienen dem Referenzgenerator und dem unabhängigen Prüfer, nicht dem Rekonstruktionsalgorithmus.</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tblHeader w:val="true"/>
          <w:cantSplit/>
        </w:trPr>
        <w:tc>
          <w:tcPr>
            <w:tcW w:type="dxa" w:w="2381"/>
            <w:vAlign w:val="center"/>
            <w:tcMar>
              <w:top w:w="80" w:type="dxa"/>
              <w:bottom w:w="80" w:type="dxa"/>
              <w:left w:w="90" w:type="dxa"/>
              <w:right w:w="90" w:type="dxa"/>
            </w:tcMar>
            <w:shd w:fill="E7EDF3"/>
          </w:tcPr>
          <w:p>
            <w:pPr>
              <w:spacing w:after="20" w:before="20" w:line="240" w:lineRule="auto"/>
              <w:jc w:val="left"/>
            </w:pPr>
            <w:r>
              <w:rPr>
                <w:b/>
                <w:sz w:val="19"/>
              </w:rPr>
              <w:t xml:space="preserve">Symbol</w:t>
            </w:r>
          </w:p>
        </w:tc>
        <w:tc>
          <w:tcPr>
            <w:tcW w:type="dxa" w:w="7257"/>
            <w:vAlign w:val="center"/>
            <w:tcMar>
              <w:top w:w="80" w:type="dxa"/>
              <w:bottom w:w="80" w:type="dxa"/>
              <w:left w:w="90" w:type="dxa"/>
              <w:right w:w="90" w:type="dxa"/>
            </w:tcMar>
            <w:shd w:fill="E7EDF3"/>
          </w:tcPr>
          <w:p>
            <w:pPr>
              <w:spacing w:after="20" w:before="20" w:line="240" w:lineRule="auto"/>
              <w:jc w:val="left"/>
            </w:pPr>
            <w:r>
              <w:rPr>
                <w:b/>
                <w:sz w:val="19"/>
              </w:rPr>
              <w:t xml:space="preserve">Bedeutung und Grenze</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m:oMath>
              <m:r>
                <m:t>N</m:t>
              </m:r>
            </m:oMath>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Ereigniszahl; allein weder physische Zeit noch Grenzwertvorschrift</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m:oMath>
              <m:r>
                <m:rPr>
                  <m:sty m:val="p"/>
                </m:rPr>
                <m:t>ℓ</m:t>
              </m:r>
            </m:oMath>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Diskretisierungslänge im vorgegebenen</w:t>
            </w:r>
            <w:r>
              <w:rPr>
                <w:sz w:val="19"/>
              </w:rPr>
              <w:t xml:space="preserve"> </w:t>
            </w:r>
            <m:oMath>
              <m:r>
                <m:t>d</m:t>
              </m:r>
            </m:oMath>
            <w:r>
              <w:rPr>
                <w:sz w:val="19"/>
              </w:rPr>
              <w:t xml:space="preserve">-Profil</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m:oMath>
              <m:sSub>
                <m:e>
                  <m:r>
                    <m:rPr>
                      <m:sty m:val="p"/>
                    </m:rPr>
                    <m:t>ℓ</m:t>
                  </m:r>
                </m:e>
                <m:sub>
                  <m:r>
                    <m:t>k</m:t>
                  </m:r>
                </m:sub>
              </m:sSub>
            </m:oMath>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Nichtlokalitäts- beziehungsweise Mittelungsskala des Operators</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m:oMath>
              <m:r>
                <m:t>L</m:t>
              </m:r>
            </m:oMath>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Beobachtungs- oder Krümmungsskala der Referenz</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m:oMath>
              <m:r>
                <m:t>p</m:t>
              </m:r>
            </m:oMath>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Retentionswahrscheinlichkeit einer klassischen Ausdünnung</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m:oMath>
              <m:r>
                <m:t>ε</m:t>
              </m:r>
            </m:oMath>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Ausschliesslich der jeweils bezeichnete numerische oder geometrische Fehler</w:t>
            </w:r>
          </w:p>
        </w:tc>
      </w:tr>
    </w:tbl>
    <w:p>
      <w:pPr>
        <w:pStyle w:val="BodyText"/>
        <w:widowControl/>
      </w:pPr>
      <w:r>
        <w:t xml:space="preserve">Zwei Grenzprozesse werden getrennt geführt. Im</w:t>
      </w:r>
      <w:r>
        <w:t xml:space="preserve"> </w:t>
      </w:r>
      <w:r>
        <w:rPr>
          <w:bCs/>
          <w:b/>
        </w:rPr>
        <w:t xml:space="preserve">Verfeinerungslimes</w:t>
      </w:r>
      <w:r>
        <w:t xml:space="preserve"> </w:t>
      </w:r>
      <w:r>
        <w:t xml:space="preserve">bleibt die physische Region fest und</w:t>
      </w:r>
      <w:r>
        <w:t xml:space="preserve"> </w:t>
      </w:r>
      <m:oMath>
        <m:r>
          <m:t>ρ</m:t>
        </m:r>
        <m:r>
          <m:rPr>
            <m:sty m:val="p"/>
          </m:rPr>
          <m:t>→</m:t>
        </m:r>
        <m:r>
          <m:rPr>
            <m:sty m:val="p"/>
          </m:rPr>
          <m:t>∞</m:t>
        </m:r>
      </m:oMath>
      <w:r>
        <w:t xml:space="preserve">. Im</w:t>
      </w:r>
      <w:r>
        <w:t xml:space="preserve"> </w:t>
      </w:r>
      <w:r>
        <w:rPr>
          <w:bCs/>
          <w:b/>
        </w:rPr>
        <w:t xml:space="preserve">makroskopischen Grenzbereich</w:t>
      </w:r>
      <w:r>
        <w:t xml:space="preserve"> </w:t>
      </w:r>
      <w:r>
        <w:t xml:space="preserve">bleibt die fundamentale Diskretheit fest und</w:t>
      </w:r>
      <w:r>
        <w:t xml:space="preserve"> </w:t>
      </w:r>
      <m:oMath>
        <m:r>
          <m:t>L</m:t>
        </m:r>
        <m:r>
          <m:rPr>
            <m:sty m:val="p"/>
          </m:rPr>
          <m:t>/</m:t>
        </m:r>
        <m:r>
          <m:rPr>
            <m:sty m:val="p"/>
          </m:rPr>
          <m:t>ℓ</m:t>
        </m:r>
        <m:r>
          <m:rPr>
            <m:sty m:val="p"/>
          </m:rPr>
          <m:t>→</m:t>
        </m:r>
        <m:r>
          <m:rPr>
            <m:sty m:val="p"/>
          </m:rPr>
          <m:t>∞</m:t>
        </m:r>
      </m:oMath>
      <w:r>
        <w:t xml:space="preserve">. Eine wachsende Ereigniszahl bei zugleich wechselndem Volumen oder wechselnden Kopplungen ist ein drittes, gesondert zu spezifizierendes Experiment.</w:t>
      </w:r>
    </w:p>
    <w:p>
      <w:pPr>
        <w:pStyle w:val="BodyText"/>
        <w:widowControl/>
      </w:pPr>
      <w:r>
        <w:t xml:space="preserve">Für gemittelte Krümmungsoperatoren ist eine kontrollierte Hierarchie wie</w:t>
      </w:r>
      <w:r>
        <w:t xml:space="preserve"> </w:t>
      </w:r>
      <m:oMath>
        <m:r>
          <m:rPr>
            <m:sty m:val="p"/>
          </m:rPr>
          <m:t>ℓ</m:t>
        </m:r>
        <m:r>
          <m:rPr>
            <m:sty m:val="p"/>
          </m:rPr>
          <m:t>≪</m:t>
        </m:r>
        <m:sSub>
          <m:e>
            <m:r>
              <m:rPr>
                <m:sty m:val="p"/>
              </m:rPr>
              <m:t>ℓ</m:t>
            </m:r>
          </m:e>
          <m:sub>
            <m:r>
              <m:t>k</m:t>
            </m:r>
          </m:sub>
        </m:sSub>
        <m:r>
          <m:rPr>
            <m:sty m:val="p"/>
          </m:rPr>
          <m:t>≪</m:t>
        </m:r>
        <m:r>
          <m:t>L</m:t>
        </m:r>
      </m:oMath>
      <w:r>
        <w:t xml:space="preserve"> </w:t>
      </w:r>
      <w:r>
        <w:t xml:space="preserve">ein Kandidat, keine automatische Fehlerschranke. Die Literatur motiviert nichtlokale Operatoren und deren Kontinuumsnäherung; konkrete Fluktuations- und Randfehler bleiben zu kontrollieren. [1,2]</w:t>
      </w:r>
    </w:p>
    <w:p>
      <w:pPr>
        <w:pStyle w:val="BodyText"/>
        <w:widowControl/>
      </w:pPr>
      <w:r>
        <w:t xml:space="preserve">Die erste Geometriekontrolle verwendet einen vierdimensionalen Minkowski-Diamanten mit Spitzen</w:t>
      </w:r>
      <w:r>
        <w:t xml:space="preserve"> </w:t>
      </w:r>
      <m:oMath>
        <m:d>
          <m:dPr>
            <m:begChr m:val="("/>
            <m:endChr m:val=")"/>
            <m:sepChr m:val=""/>
            <m:grow/>
          </m:dPr>
          <m:e>
            <m:r>
              <m:rPr>
                <m:sty m:val="p"/>
              </m:rPr>
              <m:t>−</m:t>
            </m:r>
            <m:r>
              <m:t>T</m:t>
            </m:r>
            <m:r>
              <m:rPr>
                <m:sty m:val="p"/>
              </m:rPr>
              <m:t>/</m:t>
            </m:r>
            <m:r>
              <m:t>2</m:t>
            </m:r>
            <m:r>
              <m:rPr>
                <m:sty m:val="p"/>
              </m:rPr>
              <m:t>,</m:t>
            </m:r>
            <m:r>
              <m:t>0</m:t>
            </m:r>
            <m:r>
              <m:rPr>
                <m:sty m:val="p"/>
              </m:rPr>
              <m:t>,</m:t>
            </m:r>
            <m:r>
              <m:t>0</m:t>
            </m:r>
            <m:r>
              <m:rPr>
                <m:sty m:val="p"/>
              </m:rPr>
              <m:t>,</m:t>
            </m:r>
            <m:r>
              <m:t>0</m:t>
            </m:r>
          </m:e>
        </m:d>
      </m:oMath>
      <w:r>
        <w:t xml:space="preserve"> </w:t>
      </w:r>
      <w:r>
        <w:t xml:space="preserve">und</w:t>
      </w:r>
      <w:r>
        <w:t xml:space="preserve"> </w:t>
      </w:r>
      <m:oMath>
        <m:d>
          <m:dPr>
            <m:begChr m:val="("/>
            <m:endChr m:val=")"/>
            <m:sepChr m:val=""/>
            <m:grow/>
          </m:dPr>
          <m:e>
            <m:r>
              <m:t>T</m:t>
            </m:r>
            <m:r>
              <m:rPr>
                <m:sty m:val="p"/>
              </m:rPr>
              <m:t>/</m:t>
            </m:r>
            <m:r>
              <m:t>2</m:t>
            </m:r>
            <m:r>
              <m:rPr>
                <m:sty m:val="p"/>
              </m:rPr>
              <m:t>,</m:t>
            </m:r>
            <m:r>
              <m:t>0</m:t>
            </m:r>
            <m:r>
              <m:rPr>
                <m:sty m:val="p"/>
              </m:rPr>
              <m:t>,</m:t>
            </m:r>
            <m:r>
              <m:t>0</m:t>
            </m:r>
            <m:r>
              <m:rPr>
                <m:sty m:val="p"/>
              </m:rPr>
              <m:t>,</m:t>
            </m:r>
            <m:r>
              <m:t>0</m:t>
            </m:r>
          </m:e>
        </m:d>
      </m:oMath>
      <w:r>
        <w:t xml:space="preserve"> </w:t>
      </w:r>
      <w:r>
        <w:t xml:space="preserve">sowie</w:t>
      </w:r>
      <w:r>
        <w:t xml:space="preserve"> </w:t>
      </w:r>
      <m:oMath>
        <m:sSub>
          <m:e>
            <m:r>
              <m:t>V</m:t>
            </m:r>
          </m:e>
          <m:sub>
            <m:r>
              <m:t>g</m:t>
            </m:r>
          </m:sub>
        </m:sSub>
        <m:r>
          <m:rPr>
            <m:sty m:val="p"/>
          </m:rPr>
          <m:t>=</m:t>
        </m:r>
        <m:r>
          <m:t>π</m:t>
        </m:r>
        <m:sSup>
          <m:e>
            <m:r>
              <m:t>T</m:t>
            </m:r>
          </m:e>
          <m:sup>
            <m:r>
              <m:t>4</m:t>
            </m:r>
          </m:sup>
        </m:sSup>
        <m:r>
          <m:rPr>
            <m:sty m:val="p"/>
          </m:rPr>
          <m:t>/</m:t>
        </m:r>
        <m:r>
          <m:t>24</m:t>
        </m:r>
      </m:oMath>
      <w:r>
        <w:t xml:space="preserve">. Die Punktverteilung muss volumenuniform sein. Gleichverteilte Zeitkoordinaten mit nachträglicher räumlicher Befüllung sind ohne die korrekte Gewichtung kein äquivalenter Generator.</w:t>
      </w:r>
    </w:p>
    <w:p>
      <w:pPr>
        <w:pStyle w:val="BodyText"/>
        <w:widowControl/>
      </w:pPr>
      <w:r>
        <w:t xml:space="preserve">Kontrollen in anderen Dimensionen, gekrümmte Referenzen und nichtgeometrische Ordnungen werden separat erzeugt. Eine vierdimensionale Kontrollfamilie beweist keine dynamische Auswahl von</w:t>
      </w:r>
      <w:r>
        <w:t xml:space="preserve"> </w:t>
      </w:r>
      <m:oMath>
        <m:r>
          <m:t>d</m:t>
        </m:r>
        <m:r>
          <m:rPr>
            <m:sty m:val="p"/>
          </m:rPr>
          <m:t>=</m:t>
        </m:r>
        <m:r>
          <m:t>4</m:t>
        </m:r>
      </m:oMath>
      <w:r>
        <w:t xml:space="preserve">.</w:t>
      </w:r>
    </w:p>
    <w:bookmarkEnd w:id="22"/>
    <w:bookmarkStart w:id="23" w:name="diskrete-wirkung-und-operatoren"/>
    <w:p>
      <w:pPr>
        <w:pStyle w:val="Heading1"/>
        <w:pageBreakBefore/>
        <w:widowControl/>
      </w:pPr>
      <w:r>
        <w:rPr>
          <w:color w:val="000000"/>
        </w:rPr>
        <w:t xml:space="preserve">3 Diskrete Wirkung und Operatoren</w:t>
      </w:r>
    </w:p>
    <w:p>
      <w:pPr>
        <w:pStyle w:val="FirstParagraph"/>
        <w:widowControl/>
      </w:pPr>
      <w:r>
        <w:t xml:space="preserve">Wir zählen offene Intervalle mit genau</w:t>
      </w:r>
      <w:r>
        <w:t xml:space="preserve"> </w:t>
      </w:r>
      <m:oMath>
        <m:r>
          <m:t>k</m:t>
        </m:r>
      </m:oMath>
      <w:r>
        <w:t xml:space="preserve"> </w:t>
      </w:r>
      <w:r>
        <w:t xml:space="preserve">inneren Elementen:</w:t>
      </w:r>
    </w:p>
    <w:p>
      <w:pPr>
        <w:pStyle w:val="BodyText"/>
        <w:keepLines/>
        <w:widowControl/>
        <w:spacing w:before="60" w:after="160"/>
      </w:pPr>
      <m:oMathPara>
        <m:oMathParaPr>
          <m:jc m:val="center"/>
        </m:oMathParaPr>
        <m:oMath>
          <m:sSub>
            <m:e>
              <m:r>
                <m:t>N</m:t>
              </m:r>
            </m:e>
            <m:sub>
              <m:r>
                <m:t>k</m:t>
              </m:r>
            </m:sub>
          </m:sSub>
          <m:d>
            <m:dPr>
              <m:begChr m:val="("/>
              <m:endChr m:val=")"/>
              <m:sepChr m:val=""/>
              <m:grow/>
            </m:dPr>
            <m:e>
              <m:r>
                <m:t>C</m:t>
              </m:r>
            </m:e>
          </m:d>
          <m:r>
            <m:rPr>
              <m:sty m:val="p"/>
            </m:rPr>
            <m:t>=</m:t>
          </m:r>
          <m:r>
            <m:rPr>
              <m:sty m:val="p"/>
            </m:rPr>
            <m:t>#</m:t>
          </m:r>
          <m:r>
            <m:rPr>
              <m:sty m:val="p"/>
            </m:rPr>
            <m:t>{</m:t>
          </m:r>
          <m:d>
            <m:dPr>
              <m:begChr m:val="("/>
              <m:endChr m:val=")"/>
              <m:sepChr m:val=""/>
              <m:grow/>
            </m:dPr>
            <m:e>
              <m:r>
                <m:t>x</m:t>
              </m:r>
              <m:r>
                <m:rPr>
                  <m:sty m:val="p"/>
                </m:rPr>
                <m:t>,</m:t>
              </m:r>
              <m:r>
                <m:t>y</m:t>
              </m:r>
            </m:e>
          </m:d>
          <m:r>
            <m:rPr>
              <m:sty m:val="p"/>
            </m:rPr>
            <m:t>:</m:t>
          </m:r>
          <m:r>
            <m:t>x</m:t>
          </m:r>
          <m:r>
            <m:rPr>
              <m:sty m:val="p"/>
            </m:rPr>
            <m:t>≺</m:t>
          </m:r>
          <m:r>
            <m:t>y</m:t>
          </m:r>
          <m:r>
            <m:rPr>
              <m:sty m:val="p"/>
            </m:rPr>
            <m:t>,</m:t>
          </m:r>
          <m:r>
            <m:t> </m:t>
          </m:r>
          <m:d>
            <m:dPr>
              <m:begChr m:val="|"/>
              <m:endChr m:val="|"/>
              <m:sepChr m:val=""/>
              <m:grow/>
            </m:dPr>
            <m:e>
              <m:r>
                <m:t>I</m:t>
              </m:r>
              <m:d>
                <m:dPr>
                  <m:begChr m:val="("/>
                  <m:endChr m:val=")"/>
                  <m:sepChr m:val=""/>
                  <m:grow/>
                </m:dPr>
                <m:e>
                  <m:r>
                    <m:t>x</m:t>
                  </m:r>
                  <m:r>
                    <m:rPr>
                      <m:sty m:val="p"/>
                    </m:rPr>
                    <m:t>,</m:t>
                  </m:r>
                  <m:r>
                    <m:t>y</m:t>
                  </m:r>
                </m:e>
              </m:d>
            </m:e>
          </m:d>
          <m:r>
            <m:rPr>
              <m:sty m:val="p"/>
            </m:rPr>
            <m:t>=</m:t>
          </m:r>
          <m:r>
            <m:t>k</m:t>
          </m:r>
          <m:r>
            <m:rPr>
              <m:sty m:val="p"/>
            </m:rPr>
            <m:t>}</m:t>
          </m:r>
          <m:r>
            <m:rPr>
              <m:sty m:val="p"/>
            </m:rPr>
            <m:t>.</m:t>
          </m:r>
        </m:oMath>
      </m:oMathPara>
    </w:p>
    <w:p>
      <w:pPr>
        <w:pStyle w:val="FirstParagraph"/>
        <w:widowControl/>
      </w:pPr>
      <w:r>
        <w:t xml:space="preserve">Damit zählt</w:t>
      </w:r>
      <w:r>
        <w:t xml:space="preserve"> </w:t>
      </w:r>
      <m:oMath>
        <m:sSub>
          <m:e>
            <m:r>
              <m:t>N</m:t>
            </m:r>
          </m:e>
          <m:sub>
            <m:r>
              <m:t>0</m:t>
            </m:r>
          </m:sub>
        </m:sSub>
      </m:oMath>
      <w:r>
        <w:t xml:space="preserve"> </w:t>
      </w:r>
      <w:r>
        <w:t xml:space="preserve">die Links. Der dimensionslose vierdimensionale BDG-Kern lautet in dieser Indexkonvention</w:t>
      </w:r>
    </w:p>
    <w:p>
      <w:pPr>
        <w:pStyle w:val="BodyText"/>
        <w:keepLines/>
        <w:widowControl/>
        <w:spacing w:before="60" w:after="160"/>
      </w:pPr>
      <m:oMathPara>
        <m:oMathParaPr>
          <m:jc m:val="center"/>
        </m:oMathParaPr>
        <m:oMath>
          <m:sSub>
            <m:e>
              <m:r>
                <m:t>I</m:t>
              </m:r>
            </m:e>
            <m:sub>
              <m:r>
                <m:t>4</m:t>
              </m:r>
            </m:sub>
          </m:sSub>
          <m:d>
            <m:dPr>
              <m:begChr m:val="("/>
              <m:endChr m:val=")"/>
              <m:sepChr m:val=""/>
              <m:grow/>
            </m:dPr>
            <m:e>
              <m:r>
                <m:t>C</m:t>
              </m:r>
            </m:e>
          </m:d>
          <m:r>
            <m:rPr>
              <m:sty m:val="p"/>
            </m:rPr>
            <m:t>=</m:t>
          </m:r>
          <m:r>
            <m:t>N</m:t>
          </m:r>
          <m:r>
            <m:rPr>
              <m:sty m:val="p"/>
            </m:rPr>
            <m:t>−</m:t>
          </m:r>
          <m:sSub>
            <m:e>
              <m:r>
                <m:t>N</m:t>
              </m:r>
            </m:e>
            <m:sub>
              <m:r>
                <m:t>0</m:t>
              </m:r>
            </m:sub>
          </m:sSub>
          <m:r>
            <m:rPr>
              <m:sty m:val="p"/>
            </m:rPr>
            <m:t>+</m:t>
          </m:r>
          <m:r>
            <m:t>9</m:t>
          </m:r>
          <m:sSub>
            <m:e>
              <m:r>
                <m:t>N</m:t>
              </m:r>
            </m:e>
            <m:sub>
              <m:r>
                <m:t>1</m:t>
              </m:r>
            </m:sub>
          </m:sSub>
          <m:r>
            <m:rPr>
              <m:sty m:val="p"/>
            </m:rPr>
            <m:t>−</m:t>
          </m:r>
          <m:r>
            <m:t>16</m:t>
          </m:r>
          <m:sSub>
            <m:e>
              <m:r>
                <m:t>N</m:t>
              </m:r>
            </m:e>
            <m:sub>
              <m:r>
                <m:t>2</m:t>
              </m:r>
            </m:sub>
          </m:sSub>
          <m:r>
            <m:rPr>
              <m:sty m:val="p"/>
            </m:rPr>
            <m:t>+</m:t>
          </m:r>
          <m:r>
            <m:t>8</m:t>
          </m:r>
          <m:sSub>
            <m:e>
              <m:r>
                <m:t>N</m:t>
              </m:r>
            </m:e>
            <m:sub>
              <m:r>
                <m:t>3</m:t>
              </m:r>
            </m:sub>
          </m:sSub>
          <m:r>
            <m:rPr>
              <m:sty m:val="p"/>
            </m:rPr>
            <m:t>,</m:t>
          </m:r>
        </m:oMath>
      </m:oMathPara>
    </w:p>
    <w:p>
      <w:pPr>
        <w:pStyle w:val="FirstParagraph"/>
        <w:keepLines/>
        <w:widowControl/>
        <w:spacing w:before="60" w:after="160"/>
      </w:pPr>
      <m:oMathPara>
        <m:oMathParaPr>
          <m:jc m:val="center"/>
        </m:oMathParaPr>
        <m:oMath>
          <m:sSubSup>
            <m:e>
              <m:r>
                <m:t>s</m:t>
              </m:r>
            </m:e>
            <m:sub>
              <m:r>
                <m:rPr>
                  <m:sty m:val="p"/>
                </m:rPr>
                <m:t>B</m:t>
              </m:r>
              <m:r>
                <m:rPr>
                  <m:sty m:val="p"/>
                </m:rPr>
                <m:t>D</m:t>
              </m:r>
              <m:r>
                <m:rPr>
                  <m:sty m:val="p"/>
                </m:rPr>
                <m:t>G</m:t>
              </m:r>
            </m:sub>
            <m:sup>
              <m:d>
                <m:dPr>
                  <m:begChr m:val="("/>
                  <m:endChr m:val=")"/>
                  <m:sepChr m:val=""/>
                  <m:grow/>
                </m:dPr>
                <m:e>
                  <m:r>
                    <m:t>4</m:t>
                  </m:r>
                </m:e>
              </m:d>
            </m:sup>
          </m:sSubSup>
          <m:d>
            <m:dPr>
              <m:begChr m:val="("/>
              <m:endChr m:val=")"/>
              <m:sepChr m:val=""/>
              <m:grow/>
            </m:dPr>
            <m:e>
              <m:r>
                <m:t>C</m:t>
              </m:r>
            </m:e>
          </m:d>
          <m:r>
            <m:rPr>
              <m:sty m:val="p"/>
            </m:rPr>
            <m:t>=</m:t>
          </m:r>
          <m:sSub>
            <m:e>
              <m:r>
                <m:t>γ</m:t>
              </m:r>
            </m:e>
            <m:sub>
              <m:r>
                <m:t>4</m:t>
              </m:r>
            </m:sub>
          </m:sSub>
          <m:sSub>
            <m:e>
              <m:r>
                <m:t>I</m:t>
              </m:r>
            </m:e>
            <m:sub>
              <m:r>
                <m:t>4</m:t>
              </m:r>
            </m:sub>
          </m:sSub>
          <m:d>
            <m:dPr>
              <m:begChr m:val="("/>
              <m:endChr m:val=")"/>
              <m:sepChr m:val=""/>
              <m:grow/>
            </m:dPr>
            <m:e>
              <m:r>
                <m:t>C</m:t>
              </m:r>
            </m:e>
          </m:d>
          <m:r>
            <m:rPr>
              <m:sty m:val="p"/>
            </m:rPr>
            <m:t>,</m:t>
          </m:r>
          <m:r>
            <m:t>  </m:t>
          </m:r>
          <m:sSub>
            <m:e>
              <m:r>
                <m:t>γ</m:t>
              </m:r>
            </m:e>
            <m:sub>
              <m:r>
                <m:t>4</m:t>
              </m:r>
            </m:sub>
          </m:sSub>
          <m:r>
            <m:rPr>
              <m:sty m:val="p"/>
            </m:rPr>
            <m:t>=</m:t>
          </m:r>
          <m:f>
            <m:fPr>
              <m:type m:val="bar"/>
            </m:fPr>
            <m:num>
              <m:r>
                <m:t>4</m:t>
              </m:r>
            </m:num>
            <m:den>
              <m:rad>
                <m:radPr>
                  <m:degHide m:val="on"/>
                </m:radPr>
                <m:deg/>
                <m:e>
                  <m:r>
                    <m:t>6</m:t>
                  </m:r>
                </m:e>
              </m:rad>
            </m:den>
          </m:f>
          <m:f>
            <m:fPr>
              <m:type m:val="bar"/>
            </m:fPr>
            <m:num>
              <m:sSup>
                <m:e>
                  <m:r>
                    <m:rPr>
                      <m:sty m:val="p"/>
                    </m:rPr>
                    <m:t>ℓ</m:t>
                  </m:r>
                </m:e>
                <m:sup>
                  <m:r>
                    <m:t>2</m:t>
                  </m:r>
                </m:sup>
              </m:sSup>
            </m:num>
            <m:den>
              <m:sSubSup>
                <m:e>
                  <m:r>
                    <m:rPr>
                      <m:sty m:val="p"/>
                    </m:rPr>
                    <m:t>ℓ</m:t>
                  </m:r>
                </m:e>
                <m:sub>
                  <m:r>
                    <m:t>p</m:t>
                  </m:r>
                </m:sub>
                <m:sup>
                  <m:r>
                    <m:t>2</m:t>
                  </m:r>
                </m:sup>
              </m:sSubSup>
            </m:den>
          </m:f>
          <m:r>
            <m:rPr>
              <m:sty m:val="p"/>
            </m:rPr>
            <m:t>,</m:t>
          </m:r>
          <m:r>
            <m:t> </m:t>
          </m:r>
          <m:sSubSup>
            <m:e>
              <m:r>
                <m:rPr>
                  <m:sty m:val="p"/>
                </m:rPr>
                <m:t>ℓ</m:t>
              </m:r>
            </m:e>
            <m:sub>
              <m:r>
                <m:t>p</m:t>
              </m:r>
            </m:sub>
            <m:sup>
              <m:r>
                <m:t>2</m:t>
              </m:r>
            </m:sup>
          </m:sSubSup>
          <m:r>
            <m:rPr>
              <m:sty m:val="p"/>
            </m:rPr>
            <m:t>=</m:t>
          </m:r>
          <m:r>
            <m:t>8</m:t>
          </m:r>
          <m:r>
            <m:t>π</m:t>
          </m:r>
          <m:r>
            <m:t>G</m:t>
          </m:r>
          <m:r>
            <m:rPr>
              <m:sty m:val="p"/>
            </m:rPr>
            <m:t>ℏ</m:t>
          </m:r>
          <m:r>
            <m:rPr>
              <m:sty m:val="p"/>
            </m:rPr>
            <m:t>.</m:t>
          </m:r>
        </m:oMath>
      </m:oMathPara>
    </w:p>
    <w:p>
      <w:pPr>
        <w:pStyle w:val="FirstParagraph"/>
        <w:widowControl/>
      </w:pPr>
      <w:r>
        <w:t xml:space="preserve">Es gilt</w:t>
      </w:r>
      <w:r>
        <w:t xml:space="preserve"> </w:t>
      </w:r>
      <m:oMath>
        <m:r>
          <m:t>c</m:t>
        </m:r>
        <m:r>
          <m:rPr>
            <m:sty m:val="p"/>
          </m:rPr>
          <m:t>=</m:t>
        </m:r>
        <m:r>
          <m:t>1</m:t>
        </m:r>
      </m:oMath>
      <w:r>
        <w:t xml:space="preserve">;</w:t>
      </w:r>
      <w:r>
        <w:t xml:space="preserve"> </w:t>
      </w:r>
      <m:oMath>
        <m:sSub>
          <m:e>
            <m:r>
              <m:rPr>
                <m:sty m:val="p"/>
              </m:rPr>
              <m:t>ℓ</m:t>
            </m:r>
          </m:e>
          <m:sub>
            <m:r>
              <m:t>p</m:t>
            </m:r>
          </m:sub>
        </m:sSub>
      </m:oMath>
      <w:r>
        <w:t xml:space="preserve"> </w:t>
      </w:r>
      <w:r>
        <w:t xml:space="preserve">ist hier die rationalisierte Plancklänge. Andere Plancklängenkonventionen verändern den Vorfaktor. Die Benincasa-Dowker-Glaser-Wirkung ist durch den Zusammenhang diskreter d’Alembert-Operatoren mit</w:t>
      </w:r>
      <w:r>
        <w:t xml:space="preserve"> </w:t>
      </w:r>
      <m:oMath>
        <m:r>
          <m:rPr>
            <m:sty m:val="p"/>
          </m:rPr>
          <m:t>□</m:t>
        </m:r>
        <m:r>
          <m:rPr>
            <m:sty m:val="p"/>
          </m:rPr>
          <m:t>−</m:t>
        </m:r>
        <m:r>
          <m:t>R</m:t>
        </m:r>
        <m:r>
          <m:rPr>
            <m:sty m:val="p"/>
          </m:rPr>
          <m:t>/</m:t>
        </m:r>
        <m:r>
          <m:t>2</m:t>
        </m:r>
      </m:oMath>
      <w:r>
        <w:t xml:space="preserve"> </w:t>
      </w:r>
      <w:r>
        <w:t xml:space="preserve">motiviert; sie ist keine universelle Punkt-für-Punkt-Gleichheit mit der Einstein-Hilbert-Wirkung. [1,2]</w:t>
      </w:r>
    </w:p>
    <w:p>
      <w:pPr>
        <w:pStyle w:val="BodyText"/>
        <w:widowControl/>
      </w:pPr>
      <w:r>
        <w:t xml:space="preserve">Für den lokalen Vier-Schichten-Operator gilt</w:t>
      </w:r>
    </w:p>
    <w:p>
      <w:pPr>
        <w:pStyle w:val="BodyText"/>
        <w:keepLines/>
        <w:widowControl/>
        <w:spacing w:before="60" w:after="160"/>
      </w:pPr>
      <m:oMathPara>
        <m:oMathParaPr>
          <m:jc m:val="center"/>
        </m:oMathParaPr>
        <m:oMath>
          <m:sSub>
            <m:e>
              <m:r>
                <m:t>B</m:t>
              </m:r>
            </m:e>
            <m:sub>
              <m:r>
                <m:t>C</m:t>
              </m:r>
            </m:sub>
          </m:sSub>
          <m:r>
            <m:t>ϕ</m:t>
          </m:r>
          <m:d>
            <m:dPr>
              <m:begChr m:val="("/>
              <m:endChr m:val=")"/>
              <m:sepChr m:val=""/>
              <m:grow/>
            </m:dPr>
            <m:e>
              <m:r>
                <m:t>x</m:t>
              </m:r>
            </m:e>
          </m:d>
          <m:r>
            <m:rPr>
              <m:sty m:val="p"/>
            </m:rPr>
            <m:t>=</m:t>
          </m:r>
          <m:f>
            <m:fPr>
              <m:type m:val="bar"/>
            </m:fPr>
            <m:num>
              <m:r>
                <m:t>4</m:t>
              </m:r>
            </m:num>
            <m:den>
              <m:rad>
                <m:radPr>
                  <m:degHide m:val="on"/>
                </m:radPr>
                <m:deg/>
                <m:e>
                  <m:r>
                    <m:t>6</m:t>
                  </m:r>
                </m:e>
              </m:rad>
              <m:sSup>
                <m:e>
                  <m:r>
                    <m:rPr>
                      <m:sty m:val="p"/>
                    </m:rPr>
                    <m:t>ℓ</m:t>
                  </m:r>
                </m:e>
                <m:sup>
                  <m:r>
                    <m:t>2</m:t>
                  </m:r>
                </m:sup>
              </m:sSup>
            </m:den>
          </m:f>
          <m:d>
            <m:dPr>
              <m:begChr m:val="["/>
              <m:endChr m:val="]"/>
              <m:sepChr m:val=""/>
              <m:grow/>
            </m:dPr>
            <m:e>
              <m:r>
                <m:rPr>
                  <m:sty m:val="p"/>
                </m:rPr>
                <m:t>−</m:t>
              </m:r>
              <m:r>
                <m:t>ϕ</m:t>
              </m:r>
              <m:d>
                <m:dPr>
                  <m:begChr m:val="("/>
                  <m:endChr m:val=")"/>
                  <m:sepChr m:val=""/>
                  <m:grow/>
                </m:dPr>
                <m:e>
                  <m:r>
                    <m:t>x</m:t>
                  </m:r>
                </m:e>
              </m:d>
              <m:r>
                <m:rPr>
                  <m:sty m:val="p"/>
                </m:rPr>
                <m:t>+</m:t>
              </m:r>
              <m:nary>
                <m:naryPr>
                  <m:chr m:val="∑"/>
                  <m:limLoc m:val="undOvr"/>
                  <m:subHide m:val="off"/>
                  <m:supHide m:val="on"/>
                </m:naryPr>
                <m:sub>
                  <m:r>
                    <m:t>y</m:t>
                  </m:r>
                  <m:r>
                    <m:rPr>
                      <m:sty m:val="p"/>
                    </m:rPr>
                    <m:t>≺</m:t>
                  </m:r>
                  <m:r>
                    <m:t>x</m:t>
                  </m:r>
                </m:sub>
                <m:sup>
                  <m:r>
                    <m:t>​</m:t>
                  </m:r>
                </m:sup>
                <m:e>
                  <m:sSub>
                    <m:e>
                      <m:r>
                        <m:t>c</m:t>
                      </m:r>
                    </m:e>
                    <m:sub>
                      <m:d>
                        <m:dPr>
                          <m:begChr m:val="|"/>
                          <m:endChr m:val="|"/>
                          <m:sepChr m:val=""/>
                          <m:grow/>
                        </m:dPr>
                        <m:e>
                          <m:r>
                            <m:t>I</m:t>
                          </m:r>
                          <m:d>
                            <m:dPr>
                              <m:begChr m:val="("/>
                              <m:endChr m:val=")"/>
                              <m:sepChr m:val=""/>
                              <m:grow/>
                            </m:dPr>
                            <m:e>
                              <m:r>
                                <m:t>y</m:t>
                              </m:r>
                              <m:r>
                                <m:rPr>
                                  <m:sty m:val="p"/>
                                </m:rPr>
                                <m:t>,</m:t>
                              </m:r>
                              <m:r>
                                <m:t>x</m:t>
                              </m:r>
                            </m:e>
                          </m:d>
                        </m:e>
                      </m:d>
                    </m:sub>
                  </m:sSub>
                </m:e>
              </m:nary>
              <m:r>
                <m:t>ϕ</m:t>
              </m:r>
              <m:d>
                <m:dPr>
                  <m:begChr m:val="("/>
                  <m:endChr m:val=")"/>
                  <m:sepChr m:val=""/>
                  <m:grow/>
                </m:dPr>
                <m:e>
                  <m:r>
                    <m:t>y</m:t>
                  </m:r>
                </m:e>
              </m:d>
            </m:e>
          </m:d>
          <m:r>
            <m:rPr>
              <m:sty m:val="p"/>
            </m:rPr>
            <m:t>,</m:t>
          </m:r>
        </m:oMath>
      </m:oMathPara>
    </w:p>
    <w:p>
      <w:pPr>
        <w:pStyle w:val="FirstParagraph"/>
        <w:keepLines/>
        <w:widowControl/>
        <w:spacing w:before="60" w:after="160"/>
      </w:pPr>
      <m:oMathPara>
        <m:oMathParaPr>
          <m:jc m:val="center"/>
        </m:oMathParaPr>
        <m:oMath>
          <m:sSub>
            <m:e>
              <m:r>
                <m:t>c</m:t>
              </m:r>
            </m:e>
            <m:sub>
              <m:r>
                <m:t>0</m:t>
              </m:r>
            </m:sub>
          </m:sSub>
          <m:r>
            <m:rPr>
              <m:sty m:val="p"/>
            </m:rPr>
            <m:t>=</m:t>
          </m:r>
          <m:r>
            <m:t>1</m:t>
          </m:r>
          <m:r>
            <m:rPr>
              <m:sty m:val="p"/>
            </m:rPr>
            <m:t>,</m:t>
          </m:r>
          <m:r>
            <m:t> </m:t>
          </m:r>
          <m:sSub>
            <m:e>
              <m:r>
                <m:t>c</m:t>
              </m:r>
            </m:e>
            <m:sub>
              <m:r>
                <m:t>1</m:t>
              </m:r>
            </m:sub>
          </m:sSub>
          <m:r>
            <m:rPr>
              <m:sty m:val="p"/>
            </m:rPr>
            <m:t>=</m:t>
          </m:r>
          <m:r>
            <m:rPr>
              <m:sty m:val="p"/>
            </m:rPr>
            <m:t>−</m:t>
          </m:r>
          <m:r>
            <m:t>9</m:t>
          </m:r>
          <m:r>
            <m:rPr>
              <m:sty m:val="p"/>
            </m:rPr>
            <m:t>,</m:t>
          </m:r>
          <m:r>
            <m:t> </m:t>
          </m:r>
          <m:sSub>
            <m:e>
              <m:r>
                <m:t>c</m:t>
              </m:r>
            </m:e>
            <m:sub>
              <m:r>
                <m:t>2</m:t>
              </m:r>
            </m:sub>
          </m:sSub>
          <m:r>
            <m:rPr>
              <m:sty m:val="p"/>
            </m:rPr>
            <m:t>=</m:t>
          </m:r>
          <m:r>
            <m:t>16</m:t>
          </m:r>
          <m:r>
            <m:rPr>
              <m:sty m:val="p"/>
            </m:rPr>
            <m:t>,</m:t>
          </m:r>
          <m:r>
            <m:t> </m:t>
          </m:r>
          <m:sSub>
            <m:e>
              <m:r>
                <m:t>c</m:t>
              </m:r>
            </m:e>
            <m:sub>
              <m:r>
                <m:t>3</m:t>
              </m:r>
            </m:sub>
          </m:sSub>
          <m:r>
            <m:rPr>
              <m:sty m:val="p"/>
            </m:rPr>
            <m:t>=</m:t>
          </m:r>
          <m:r>
            <m:rPr>
              <m:sty m:val="p"/>
            </m:rPr>
            <m:t>−</m:t>
          </m:r>
          <m:r>
            <m:t>8</m:t>
          </m:r>
          <m:r>
            <m:rPr>
              <m:sty m:val="p"/>
            </m:rPr>
            <m:t>,</m:t>
          </m:r>
          <m:r>
            <m:t> </m:t>
          </m:r>
          <m:sSub>
            <m:e>
              <m:r>
                <m:t>c</m:t>
              </m:r>
            </m:e>
            <m:sub>
              <m:r>
                <m:t>k</m:t>
              </m:r>
            </m:sub>
          </m:sSub>
          <m:r>
            <m:rPr>
              <m:sty m:val="p"/>
            </m:rPr>
            <m:t>=</m:t>
          </m:r>
          <m:r>
            <m:t>0</m:t>
          </m:r>
          <m:r>
            <m:t> </m:t>
          </m:r>
          <m:d>
            <m:dPr>
              <m:begChr m:val="("/>
              <m:endChr m:val=")"/>
              <m:sepChr m:val=""/>
              <m:grow/>
            </m:dPr>
            <m:e>
              <m:r>
                <m:t>k</m:t>
              </m:r>
              <m:r>
                <m:rPr>
                  <m:sty m:val="p"/>
                </m:rPr>
                <m:t>≥</m:t>
              </m:r>
              <m:r>
                <m:t>4</m:t>
              </m:r>
            </m:e>
          </m:d>
          <m:r>
            <m:rPr>
              <m:sty m:val="p"/>
            </m:rPr>
            <m:t>.</m:t>
          </m:r>
        </m:oMath>
      </m:oMathPara>
    </w:p>
    <w:p>
      <w:pPr>
        <w:pStyle w:val="FirstParagraph"/>
        <w:widowControl/>
      </w:pPr>
      <w:r>
        <w:t xml:space="preserve">Die Normierung erfüllt exakt</w:t>
      </w:r>
      <w:r>
        <w:t xml:space="preserve"> </w:t>
      </w:r>
      <m:oMath>
        <m:nary>
          <m:naryPr>
            <m:chr m:val="∑"/>
            <m:limLoc m:val="undOvr"/>
            <m:subHide m:val="off"/>
            <m:supHide m:val="on"/>
          </m:naryPr>
          <m:sub>
            <m:r>
              <m:t>x</m:t>
            </m:r>
          </m:sub>
          <m:sup>
            <m:r>
              <m:t>​</m:t>
            </m:r>
          </m:sup>
          <m:e>
            <m:d>
              <m:dPr>
                <m:begChr m:val="["/>
                <m:endChr m:val="]"/>
                <m:sepChr m:val=""/>
                <m:grow/>
              </m:dPr>
              <m:e>
                <m:r>
                  <m:rPr>
                    <m:sty m:val="p"/>
                  </m:rPr>
                  <m:t>−</m:t>
                </m:r>
                <m:sSub>
                  <m:e>
                    <m:r>
                      <m:t>B</m:t>
                    </m:r>
                  </m:e>
                  <m:sub>
                    <m:r>
                      <m:t>C</m:t>
                    </m:r>
                  </m:sub>
                </m:sSub>
                <m:r>
                  <m:t>1</m:t>
                </m:r>
              </m:e>
            </m:d>
          </m:e>
        </m:nary>
        <m:d>
          <m:dPr>
            <m:begChr m:val="("/>
            <m:endChr m:val=")"/>
            <m:sepChr m:val=""/>
            <m:grow/>
          </m:dPr>
          <m:e>
            <m:r>
              <m:t>x</m:t>
            </m:r>
          </m:e>
        </m:d>
        <m:r>
          <m:rPr>
            <m:sty m:val="p"/>
          </m:rPr>
          <m:t>=</m:t>
        </m:r>
        <m:r>
          <m:t>4</m:t>
        </m:r>
        <m:sSub>
          <m:e>
            <m:r>
              <m:t>I</m:t>
            </m:r>
          </m:e>
          <m:sub>
            <m:r>
              <m:t>4</m:t>
            </m:r>
          </m:sub>
        </m:sSub>
        <m:d>
          <m:dPr>
            <m:begChr m:val="("/>
            <m:endChr m:val=")"/>
            <m:sepChr m:val=""/>
            <m:grow/>
          </m:dPr>
          <m:e>
            <m:r>
              <m:t>C</m:t>
            </m:r>
          </m:e>
        </m:d>
        <m:r>
          <m:rPr>
            <m:sty m:val="p"/>
          </m:rPr>
          <m:t>/</m:t>
        </m:r>
        <m:d>
          <m:dPr>
            <m:begChr m:val="("/>
            <m:endChr m:val=")"/>
            <m:sepChr m:val=""/>
            <m:grow/>
          </m:dPr>
          <m:e>
            <m:rad>
              <m:radPr>
                <m:degHide m:val="on"/>
              </m:radPr>
              <m:deg/>
              <m:e>
                <m:r>
                  <m:t>6</m:t>
                </m:r>
              </m:e>
            </m:rad>
            <m:sSup>
              <m:e>
                <m:r>
                  <m:rPr>
                    <m:sty m:val="p"/>
                  </m:rPr>
                  <m:t>ℓ</m:t>
                </m:r>
              </m:e>
              <m:sup>
                <m:r>
                  <m:t>2</m:t>
                </m:r>
              </m:sup>
            </m:sSup>
          </m:e>
        </m:d>
      </m:oMath>
      <w:r>
        <w:t xml:space="preserve">. Der Krümmungsschätzer</w:t>
      </w:r>
      <w:r>
        <w:t xml:space="preserve"> </w:t>
      </w:r>
      <m:oMath>
        <m:r>
          <m:rPr>
            <m:sty m:val="p"/>
          </m:rPr>
          <m:t>−</m:t>
        </m:r>
        <m:r>
          <m:t>2</m:t>
        </m:r>
        <m:sSub>
          <m:e>
            <m:r>
              <m:t>B</m:t>
            </m:r>
          </m:e>
          <m:sub>
            <m:r>
              <m:t>C</m:t>
            </m:r>
          </m:sub>
        </m:sSub>
        <m:r>
          <m:t>1</m:t>
        </m:r>
      </m:oMath>
      <w:r>
        <w:t xml:space="preserve"> </w:t>
      </w:r>
      <w:r>
        <w:t xml:space="preserve">enthält den zusätzlichen Faktor zwei. Die nichtlokale Variante</w:t>
      </w:r>
      <w:r>
        <w:t xml:space="preserve"> </w:t>
      </w:r>
      <m:oMath>
        <m:sSub>
          <m:e>
            <m:r>
              <m:t>B</m:t>
            </m:r>
          </m:e>
          <m:sub>
            <m:r>
              <m:t>C</m:t>
            </m:r>
            <m:r>
              <m:rPr>
                <m:sty m:val="p"/>
              </m:rPr>
              <m:t>,</m:t>
            </m:r>
            <m:sSub>
              <m:e>
                <m:r>
                  <m:rPr>
                    <m:sty m:val="p"/>
                  </m:rPr>
                  <m:t>ℓ</m:t>
                </m:r>
              </m:e>
              <m:sub>
                <m:r>
                  <m:t>k</m:t>
                </m:r>
              </m:sub>
            </m:sSub>
          </m:sub>
        </m:sSub>
      </m:oMath>
      <w:r>
        <w:t xml:space="preserve"> </w:t>
      </w:r>
      <w:r>
        <w:t xml:space="preserve">erhält eine eigene Formel- und Versionskennung; ihre Grenzwerte werden nicht mit dieser lokalen Kontrolle vermischt.</w:t>
      </w:r>
    </w:p>
    <w:p>
      <w:pPr>
        <w:pStyle w:val="BodyText"/>
        <w:widowControl/>
      </w:pPr>
      <w:r>
        <w:t xml:space="preserve">Eine allgemeine Forschungswirkung ist</w:t>
      </w:r>
    </w:p>
    <w:p>
      <w:pPr>
        <w:pStyle w:val="BodyText"/>
        <w:keepLines/>
        <w:widowControl/>
        <w:spacing w:before="60" w:after="160"/>
      </w:pPr>
      <m:oMathPara>
        <m:oMathParaPr>
          <m:jc m:val="center"/>
        </m:oMathParaPr>
        <m:oMath>
          <m:sSub>
            <m:e>
              <m:r>
                <m:t>s</m:t>
              </m:r>
            </m:e>
            <m:sub>
              <m:r>
                <m:t>θ</m:t>
              </m:r>
            </m:sub>
          </m:sSub>
          <m:d>
            <m:dPr>
              <m:begChr m:val="("/>
              <m:endChr m:val=")"/>
              <m:sepChr m:val=""/>
              <m:grow/>
            </m:dPr>
            <m:e>
              <m:r>
                <m:t>C</m:t>
              </m:r>
              <m:r>
                <m:rPr>
                  <m:sty m:val="p"/>
                </m:rPr>
                <m:t>,</m:t>
              </m:r>
              <m:r>
                <m:t>ϕ</m:t>
              </m:r>
            </m:e>
          </m:d>
          <m:r>
            <m:rPr>
              <m:sty m:val="p"/>
            </m:rPr>
            <m:t>=</m:t>
          </m:r>
          <m:sSubSup>
            <m:e>
              <m:r>
                <m:t>s</m:t>
              </m:r>
            </m:e>
            <m:sub>
              <m:r>
                <m:rPr>
                  <m:sty m:val="p"/>
                </m:rPr>
                <m:t>B</m:t>
              </m:r>
              <m:r>
                <m:rPr>
                  <m:sty m:val="p"/>
                </m:rPr>
                <m:t>D</m:t>
              </m:r>
              <m:r>
                <m:rPr>
                  <m:sty m:val="p"/>
                </m:rPr>
                <m:t>G</m:t>
              </m:r>
            </m:sub>
            <m:sup>
              <m:d>
                <m:dPr>
                  <m:begChr m:val="("/>
                  <m:endChr m:val=")"/>
                  <m:sepChr m:val=""/>
                  <m:grow/>
                </m:dPr>
                <m:e>
                  <m:r>
                    <m:t>d</m:t>
                  </m:r>
                </m:e>
              </m:d>
            </m:sup>
          </m:sSubSup>
          <m:d>
            <m:dPr>
              <m:begChr m:val="("/>
              <m:endChr m:val=")"/>
              <m:sepChr m:val=""/>
              <m:grow/>
            </m:dPr>
            <m:e>
              <m:r>
                <m:t>C</m:t>
              </m:r>
            </m:e>
          </m:d>
          <m:r>
            <m:rPr>
              <m:sty m:val="p"/>
            </m:rPr>
            <m:t>−</m:t>
          </m:r>
          <m:sSub>
            <m:e>
              <m:r>
                <m:t>λ</m:t>
              </m:r>
            </m:e>
            <m:sub>
              <m:r>
                <m:t>N</m:t>
              </m:r>
            </m:sub>
          </m:sSub>
          <m:r>
            <m:t>N</m:t>
          </m:r>
          <m:r>
            <m:rPr>
              <m:sty m:val="p"/>
            </m:rPr>
            <m:t>+</m:t>
          </m:r>
          <m:sSub>
            <m:e>
              <m:r>
                <m:t>s</m:t>
              </m:r>
            </m:e>
            <m:sub>
              <m:r>
                <m:t>m</m:t>
              </m:r>
            </m:sub>
          </m:sSub>
          <m:d>
            <m:dPr>
              <m:begChr m:val="("/>
              <m:endChr m:val=")"/>
              <m:sepChr m:val=""/>
              <m:grow/>
            </m:dPr>
            <m:e>
              <m:r>
                <m:t>C</m:t>
              </m:r>
              <m:r>
                <m:rPr>
                  <m:sty m:val="p"/>
                </m:rPr>
                <m:t>,</m:t>
              </m:r>
              <m:r>
                <m:t>ϕ</m:t>
              </m:r>
            </m:e>
          </m:d>
          <m:r>
            <m:rPr>
              <m:sty m:val="p"/>
            </m:rPr>
            <m:t>+</m:t>
          </m:r>
          <m:sSub>
            <m:e>
              <m:r>
                <m:t>s</m:t>
              </m:r>
            </m:e>
            <m:sub>
              <m:r>
                <m:rPr>
                  <m:sty m:val="p"/>
                </m:rPr>
                <m:t>∂</m:t>
              </m:r>
            </m:sub>
          </m:sSub>
          <m:d>
            <m:dPr>
              <m:begChr m:val="("/>
              <m:endChr m:val=")"/>
              <m:sepChr m:val=""/>
              <m:grow/>
            </m:dPr>
            <m:e>
              <m:r>
                <m:t>C</m:t>
              </m:r>
              <m:r>
                <m:rPr>
                  <m:sty m:val="p"/>
                </m:rPr>
                <m:t>,</m:t>
              </m:r>
              <m:r>
                <m:t>ϕ</m:t>
              </m:r>
            </m:e>
          </m:d>
          <m:r>
            <m:rPr>
              <m:sty m:val="p"/>
            </m:rPr>
            <m:t>+</m:t>
          </m:r>
          <m:nary>
            <m:naryPr>
              <m:chr m:val="∑"/>
              <m:limLoc m:val="undOvr"/>
              <m:subHide m:val="off"/>
              <m:supHide m:val="on"/>
            </m:naryPr>
            <m:sub>
              <m:r>
                <m:t>a</m:t>
              </m:r>
            </m:sub>
            <m:sup>
              <m:r>
                <m:t>​</m:t>
              </m:r>
            </m:sup>
            <m:e>
              <m:sSub>
                <m:e>
                  <m:r>
                    <m:t>g</m:t>
                  </m:r>
                </m:e>
                <m:sub>
                  <m:r>
                    <m:t>a</m:t>
                  </m:r>
                </m:sub>
              </m:sSub>
            </m:e>
          </m:nary>
          <m:sSub>
            <m:e>
              <m:r>
                <m:t>O</m:t>
              </m:r>
            </m:e>
            <m:sub>
              <m:r>
                <m:t>a</m:t>
              </m:r>
            </m:sub>
          </m:sSub>
          <m:d>
            <m:dPr>
              <m:begChr m:val="("/>
              <m:endChr m:val=")"/>
              <m:sepChr m:val=""/>
              <m:grow/>
            </m:dPr>
            <m:e>
              <m:r>
                <m:t>C</m:t>
              </m:r>
              <m:r>
                <m:rPr>
                  <m:sty m:val="p"/>
                </m:rPr>
                <m:t>,</m:t>
              </m:r>
              <m:r>
                <m:t>ϕ</m:t>
              </m:r>
            </m:e>
          </m:d>
          <m:r>
            <m:rPr>
              <m:sty m:val="p"/>
            </m:rPr>
            <m:t>.</m:t>
          </m:r>
        </m:oMath>
      </m:oMathPara>
    </w:p>
    <w:p>
      <w:pPr>
        <w:pStyle w:val="FirstParagraph"/>
        <w:widowControl/>
      </w:pPr>
      <m:oMath>
        <m:sSub>
          <m:e>
            <m:r>
              <m:t>λ</m:t>
            </m:r>
          </m:e>
          <m:sub>
            <m:r>
              <m:t>N</m:t>
            </m:r>
          </m:sub>
        </m:sSub>
      </m:oMath>
      <w:r>
        <w:t xml:space="preserve"> </w:t>
      </w:r>
      <w:r>
        <w:t xml:space="preserve">ist eine dimensionslose Volumenkopplung; ihre physische Zuordnung wird im jeweiligen Profil festgelegt. Bei festem</w:t>
      </w:r>
      <w:r>
        <w:t xml:space="preserve"> </w:t>
      </w:r>
      <m:oMath>
        <m:r>
          <m:t>N</m:t>
        </m:r>
      </m:oMath>
      <w:r>
        <w:t xml:space="preserve"> </w:t>
      </w:r>
      <w:r>
        <w:t xml:space="preserve">ist ihr Beitrag eine gemeinsame Phase und verändert keine relativen Gewichte innerhalb dieses Sektors. Zusätzliche Operatoren sind neue Modellannahmen und werden durch Ablationen geprüft.</w:t>
      </w:r>
    </w:p>
    <w:p>
      <w:pPr>
        <w:pStyle w:val="BodyText"/>
        <w:widowControl/>
      </w:pPr>
      <w:r>
        <w:t xml:space="preserve">Randbeiträge können bereits aus der BDG-Wirkung entstehen. Ein zusätzliches</w:t>
      </w:r>
      <w:r>
        <w:t xml:space="preserve"> </w:t>
      </w:r>
      <m:oMath>
        <m:sSub>
          <m:e>
            <m:r>
              <m:t>s</m:t>
            </m:r>
          </m:e>
          <m:sub>
            <m:r>
              <m:rPr>
                <m:sty m:val="p"/>
              </m:rPr>
              <m:t>∂</m:t>
            </m:r>
          </m:sub>
        </m:sSub>
      </m:oMath>
      <w:r>
        <w:t xml:space="preserve"> </w:t>
      </w:r>
      <w:r>
        <w:t xml:space="preserve">darf sie nicht doppelt zählen. Die Kontinuumsprüfung muss Erwartungswert, Varianz, Region und Randbedingungen getrennt behandeln. [3]</w:t>
      </w:r>
    </w:p>
    <w:p>
      <w:pPr>
        <w:pStyle w:val="BodyText"/>
        <w:widowControl/>
      </w:pPr>
      <w:r>
        <w:t xml:space="preserve">Der Basiskern fixiert</w:t>
      </w:r>
      <w:r>
        <w:t xml:space="preserve"> </w:t>
      </w:r>
      <m:oMath>
        <m:r>
          <m:t>d</m:t>
        </m:r>
        <m:r>
          <m:rPr>
            <m:sty m:val="p"/>
          </m:rPr>
          <m:t>=</m:t>
        </m:r>
        <m:r>
          <m:t>4</m:t>
        </m:r>
      </m:oMath>
      <w:r>
        <w:t xml:space="preserve"> </w:t>
      </w:r>
      <w:r>
        <w:t xml:space="preserve">in den Koeffizienten. Dimensionsselektion verlangt einen eigenen Vergleich verschiedener Profile oder eine begründete dimensionsunabhängige Dynamik. Ein Strafterm</w:t>
      </w:r>
      <w:r>
        <w:t xml:space="preserve"> </w:t>
      </w:r>
      <m:oMath>
        <m:sSup>
          <m:e>
            <m:d>
              <m:dPr>
                <m:begChr m:val="("/>
                <m:endChr m:val=")"/>
                <m:sepChr m:val=""/>
                <m:grow/>
              </m:dPr>
              <m:e>
                <m:sSub>
                  <m:e>
                    <m:r>
                      <m:t>d</m:t>
                    </m:r>
                  </m:e>
                  <m:sub>
                    <m:r>
                      <m:rPr>
                        <m:sty m:val="p"/>
                      </m:rPr>
                      <m:t>s</m:t>
                    </m:r>
                    <m:r>
                      <m:rPr>
                        <m:sty m:val="p"/>
                      </m:rPr>
                      <m:t>p</m:t>
                    </m:r>
                    <m:r>
                      <m:rPr>
                        <m:sty m:val="p"/>
                      </m:rPr>
                      <m:t>e</m:t>
                    </m:r>
                    <m:r>
                      <m:rPr>
                        <m:sty m:val="p"/>
                      </m:rPr>
                      <m:t>c</m:t>
                    </m:r>
                  </m:sub>
                </m:sSub>
                <m:r>
                  <m:rPr>
                    <m:sty m:val="p"/>
                  </m:rPr>
                  <m:t>−</m:t>
                </m:r>
                <m:r>
                  <m:t>4</m:t>
                </m:r>
              </m:e>
            </m:d>
          </m:e>
          <m:sup>
            <m:r>
              <m:t>2</m:t>
            </m:r>
          </m:sup>
        </m:sSup>
      </m:oMath>
      <w:r>
        <w:t xml:space="preserve"> </w:t>
      </w:r>
      <w:r>
        <w:t xml:space="preserve">wäre eine eingebaute Zielpräferenz.</w:t>
      </w:r>
    </w:p>
    <w:bookmarkEnd w:id="23"/>
    <w:bookmarkStart w:id="24" w:name="historienamplituden-und-zählmass"/>
    <w:p>
      <w:pPr>
        <w:pStyle w:val="Heading1"/>
        <w:pageBreakBefore/>
        <w:widowControl/>
      </w:pPr>
      <w:r>
        <w:rPr>
          <w:color w:val="000000"/>
        </w:rPr>
        <w:t xml:space="preserve">4 Historienamplituden und Zählmass</w:t>
      </w:r>
    </w:p>
    <w:p>
      <w:pPr>
        <w:pStyle w:val="FirstParagraph"/>
        <w:widowControl/>
      </w:pPr>
      <w:r>
        <w:t xml:space="preserve">Ein endlicher Causal Set beschreibt bereits eine vollständige diskrete Raumzeitgeschichte. Eine Reihenfolge, in der ein Algorithmus seine Elemente erzeugt, ist nicht automatisch eine zusätzliche physische Zeit. Gleichwertige Erzeugungsreihenfolgen dürfen nicht unbemerkt mehrfach gezählt werden.</w:t>
      </w:r>
    </w:p>
    <w:p>
      <w:pPr>
        <w:pStyle w:val="BodyText"/>
        <w:widowControl/>
      </w:pPr>
      <w:r>
        <w:t xml:space="preserve">Für das reine, endliche Ordnungsprofil definieren wir</w:t>
      </w:r>
    </w:p>
    <w:p>
      <w:pPr>
        <w:pStyle w:val="BodyText"/>
        <w:keepLines/>
        <w:widowControl/>
        <w:spacing w:before="60" w:after="160"/>
      </w:pPr>
      <m:oMathPara>
        <m:oMathParaPr>
          <m:jc m:val="center"/>
        </m:oMathParaPr>
        <m:oMath>
          <m:sSub>
            <m:e>
              <m:r>
                <m:t>a</m:t>
              </m:r>
            </m:e>
            <m:sub>
              <m:r>
                <m:t>N</m:t>
              </m:r>
            </m:sub>
          </m:sSub>
          <m:d>
            <m:dPr>
              <m:begChr m:val="("/>
              <m:endChr m:val=")"/>
              <m:sepChr m:val=""/>
              <m:grow/>
            </m:dPr>
            <m:e>
              <m:r>
                <m:t>C</m:t>
              </m:r>
            </m:e>
          </m:d>
          <m:r>
            <m:rPr>
              <m:sty m:val="p"/>
            </m:rPr>
            <m:t>=</m:t>
          </m:r>
          <m:sSub>
            <m:e>
              <m:r>
                <m:t>w</m:t>
              </m:r>
            </m:e>
            <m:sub>
              <m:r>
                <m:t>N</m:t>
              </m:r>
            </m:sub>
          </m:sSub>
          <m:d>
            <m:dPr>
              <m:begChr m:val="("/>
              <m:endChr m:val=")"/>
              <m:sepChr m:val=""/>
              <m:grow/>
            </m:dPr>
            <m:e>
              <m:r>
                <m:t>C</m:t>
              </m:r>
            </m:e>
          </m:d>
          <m:sSup>
            <m:e>
              <m:r>
                <m:t>e</m:t>
              </m:r>
            </m:e>
            <m:sup>
              <m:r>
                <m:t>i</m:t>
              </m:r>
              <m:sSub>
                <m:e>
                  <m:r>
                    <m:t>s</m:t>
                  </m:r>
                </m:e>
                <m:sub>
                  <m:r>
                    <m:t>N</m:t>
                  </m:r>
                </m:sub>
              </m:sSub>
              <m:d>
                <m:dPr>
                  <m:begChr m:val="("/>
                  <m:endChr m:val=")"/>
                  <m:sepChr m:val=""/>
                  <m:grow/>
                </m:dPr>
                <m:e>
                  <m:r>
                    <m:t>C</m:t>
                  </m:r>
                </m:e>
              </m:d>
            </m:sup>
          </m:sSup>
          <m:r>
            <m:rPr>
              <m:sty m:val="p"/>
            </m:rPr>
            <m:t>,</m:t>
          </m:r>
          <m:r>
            <m:t>  </m:t>
          </m:r>
          <m:sSub>
            <m:e>
              <m:r>
                <m:t>Z</m:t>
              </m:r>
            </m:e>
            <m:sub>
              <m:r>
                <m:t>N</m:t>
              </m:r>
            </m:sub>
          </m:sSub>
          <m:d>
            <m:dPr>
              <m:begChr m:val="("/>
              <m:endChr m:val=")"/>
              <m:sepChr m:val=""/>
              <m:grow/>
            </m:dPr>
            <m:e>
              <m:r>
                <m:t>A</m:t>
              </m:r>
            </m:e>
          </m:d>
          <m:r>
            <m:rPr>
              <m:sty m:val="p"/>
            </m:rPr>
            <m:t>=</m:t>
          </m:r>
          <m:nary>
            <m:naryPr>
              <m:chr m:val="∑"/>
              <m:limLoc m:val="undOvr"/>
              <m:subHide m:val="off"/>
              <m:supHide m:val="on"/>
            </m:naryPr>
            <m:sub>
              <m:r>
                <m:t>C</m:t>
              </m:r>
              <m:r>
                <m:rPr>
                  <m:sty m:val="p"/>
                </m:rPr>
                <m:t>∈</m:t>
              </m:r>
              <m:r>
                <m:t>A</m:t>
              </m:r>
            </m:sub>
            <m:sup>
              <m:r>
                <m:t>​</m:t>
              </m:r>
            </m:sup>
            <m:e>
              <m:sSub>
                <m:e>
                  <m:r>
                    <m:t>a</m:t>
                  </m:r>
                </m:e>
                <m:sub>
                  <m:r>
                    <m:t>N</m:t>
                  </m:r>
                </m:sub>
              </m:sSub>
            </m:e>
          </m:nary>
          <m:d>
            <m:dPr>
              <m:begChr m:val="("/>
              <m:endChr m:val=")"/>
              <m:sepChr m:val=""/>
              <m:grow/>
            </m:dPr>
            <m:e>
              <m:r>
                <m:t>C</m:t>
              </m:r>
            </m:e>
          </m:d>
          <m:r>
            <m:rPr>
              <m:sty m:val="p"/>
            </m:rPr>
            <m:t>.</m:t>
          </m:r>
        </m:oMath>
      </m:oMathPara>
    </w:p>
    <w:p>
      <w:pPr>
        <w:pStyle w:val="FirstParagraph"/>
        <w:widowControl/>
      </w:pPr>
      <w:r>
        <w:t xml:space="preserve">Zwei mögliche Konventionen sind</w:t>
      </w:r>
      <w:r>
        <w:t xml:space="preserve"> </w:t>
      </w:r>
      <m:oMath>
        <m:sSub>
          <m:e>
            <m:r>
              <m:t>w</m:t>
            </m:r>
          </m:e>
          <m:sub>
            <m:r>
              <m:t>N</m:t>
            </m:r>
          </m:sub>
        </m:sSub>
        <m:d>
          <m:dPr>
            <m:begChr m:val="("/>
            <m:endChr m:val=")"/>
            <m:sepChr m:val=""/>
            <m:grow/>
          </m:dPr>
          <m:e>
            <m:r>
              <m:t>C</m:t>
            </m:r>
          </m:e>
        </m:d>
        <m:r>
          <m:rPr>
            <m:sty m:val="p"/>
          </m:rPr>
          <m:t>=</m:t>
        </m:r>
        <m:r>
          <m:t>1</m:t>
        </m:r>
      </m:oMath>
      <w:r>
        <w:t xml:space="preserve"> </w:t>
      </w:r>
      <w:r>
        <w:t xml:space="preserve">auf Isomorphieklassen und</w:t>
      </w:r>
      <w:r>
        <w:t xml:space="preserve"> </w:t>
      </w:r>
      <m:oMath>
        <m:sSub>
          <m:e>
            <m:r>
              <m:t>w</m:t>
            </m:r>
          </m:e>
          <m:sub>
            <m:r>
              <m:t>N</m:t>
            </m:r>
          </m:sub>
        </m:sSub>
        <m:d>
          <m:dPr>
            <m:begChr m:val="("/>
            <m:endChr m:val=")"/>
            <m:sepChr m:val=""/>
            <m:grow/>
          </m:dPr>
          <m:e>
            <m:r>
              <m:t>C</m:t>
            </m:r>
          </m:e>
        </m:d>
        <m:r>
          <m:rPr>
            <m:sty m:val="p"/>
          </m:rPr>
          <m:t>=</m:t>
        </m:r>
        <m:r>
          <m:t>1</m:t>
        </m:r>
        <m:r>
          <m:rPr>
            <m:sty m:val="p"/>
          </m:rPr>
          <m:t>/</m:t>
        </m:r>
        <m:d>
          <m:dPr>
            <m:begChr m:val="|"/>
            <m:endChr m:val="|"/>
            <m:sepChr m:val=""/>
            <m:grow/>
          </m:dPr>
          <m:e>
            <m:r>
              <m:rPr>
                <m:sty m:val="p"/>
              </m:rPr>
              <m:t>Aut</m:t>
            </m:r>
            <m:d>
              <m:dPr>
                <m:begChr m:val="("/>
                <m:endChr m:val=")"/>
                <m:sepChr m:val=""/>
                <m:grow/>
              </m:dPr>
              <m:e>
                <m:r>
                  <m:t>C</m:t>
                </m:r>
              </m:e>
            </m:d>
          </m:e>
        </m:d>
      </m:oMath>
      <w:r>
        <w:t xml:space="preserve">. Sie definieren verschiedene Modelle. Für eine isomorphieinvariante Funktion</w:t>
      </w:r>
      <w:r>
        <w:t xml:space="preserve"> </w:t>
      </w:r>
      <m:oMath>
        <m:r>
          <m:t>f</m:t>
        </m:r>
      </m:oMath>
      <w:r>
        <w:t xml:space="preserve"> </w:t>
      </w:r>
      <w:r>
        <w:t xml:space="preserve">gilt die exakte Identität</w:t>
      </w:r>
    </w:p>
    <w:p>
      <w:pPr>
        <w:pStyle w:val="BodyText"/>
        <w:keepLines/>
        <w:widowControl/>
        <w:spacing w:before="60" w:after="160"/>
      </w:pPr>
      <m:oMathPara>
        <m:oMathParaPr>
          <m:jc m:val="center"/>
        </m:oMathParaPr>
        <m:oMath>
          <m:f>
            <m:fPr>
              <m:type m:val="bar"/>
            </m:fPr>
            <m:num>
              <m:r>
                <m:t>1</m:t>
              </m:r>
            </m:num>
            <m:den>
              <m:r>
                <m:t>N</m:t>
              </m:r>
              <m:r>
                <m:rPr>
                  <m:sty m:val="p"/>
                </m:rPr>
                <m:t>!</m:t>
              </m:r>
            </m:den>
          </m:f>
          <m:nary>
            <m:naryPr>
              <m:chr m:val="∑"/>
              <m:limLoc m:val="undOvr"/>
              <m:subHide m:val="off"/>
              <m:supHide m:val="on"/>
            </m:naryPr>
            <m:sub>
              <m:r>
                <m:t>C</m:t>
              </m:r>
              <m:r>
                <m:t> </m:t>
              </m:r>
              <m:r>
                <m:rPr>
                  <m:sty m:val="p"/>
                </m:rPr>
                <m:t>v</m:t>
              </m:r>
              <m:r>
                <m:rPr>
                  <m:sty m:val="p"/>
                </m:rPr>
                <m:t>o</m:t>
              </m:r>
              <m:r>
                <m:rPr>
                  <m:sty m:val="p"/>
                </m:rPr>
                <m:t>l</m:t>
              </m:r>
              <m:r>
                <m:rPr>
                  <m:sty m:val="p"/>
                </m:rPr>
                <m:t>l</m:t>
              </m:r>
              <m:r>
                <m:rPr>
                  <m:sty m:val="p"/>
                </m:rPr>
                <m:t> </m:t>
              </m:r>
              <m:r>
                <m:rPr>
                  <m:sty m:val="p"/>
                </m:rPr>
                <m:t>b</m:t>
              </m:r>
              <m:r>
                <m:rPr>
                  <m:sty m:val="p"/>
                </m:rPr>
                <m:t>e</m:t>
              </m:r>
              <m:r>
                <m:rPr>
                  <m:sty m:val="p"/>
                </m:rPr>
                <m:t>s</m:t>
              </m:r>
              <m:r>
                <m:rPr>
                  <m:sty m:val="p"/>
                </m:rPr>
                <m:t>c</m:t>
              </m:r>
              <m:r>
                <m:rPr>
                  <m:sty m:val="p"/>
                </m:rPr>
                <m:t>h</m:t>
              </m:r>
              <m:r>
                <m:rPr>
                  <m:sty m:val="p"/>
                </m:rPr>
                <m:t>r</m:t>
              </m:r>
              <m:r>
                <m:rPr>
                  <m:sty m:val="p"/>
                </m:rPr>
                <m:t>i</m:t>
              </m:r>
              <m:r>
                <m:rPr>
                  <m:sty m:val="p"/>
                </m:rPr>
                <m:t>f</m:t>
              </m:r>
              <m:r>
                <m:rPr>
                  <m:sty m:val="p"/>
                </m:rPr>
                <m:t>t</m:t>
              </m:r>
              <m:r>
                <m:rPr>
                  <m:sty m:val="p"/>
                </m:rPr>
                <m:t>e</m:t>
              </m:r>
              <m:r>
                <m:rPr>
                  <m:sty m:val="p"/>
                </m:rPr>
                <m:t>t</m:t>
              </m:r>
            </m:sub>
            <m:sup>
              <m:r>
                <m:t>​</m:t>
              </m:r>
            </m:sup>
            <m:e>
              <m:r>
                <m:t>f</m:t>
              </m:r>
            </m:e>
          </m:nary>
          <m:d>
            <m:dPr>
              <m:begChr m:val="("/>
              <m:endChr m:val=")"/>
              <m:sepChr m:val=""/>
              <m:grow/>
            </m:dPr>
            <m:e>
              <m:r>
                <m:t>C</m:t>
              </m:r>
            </m:e>
          </m:d>
          <m:r>
            <m:rPr>
              <m:sty m:val="p"/>
            </m:rPr>
            <m:t>=</m:t>
          </m:r>
          <m:nary>
            <m:naryPr>
              <m:chr m:val="∑"/>
              <m:limLoc m:val="undOvr"/>
              <m:subHide m:val="off"/>
              <m:supHide m:val="on"/>
            </m:naryPr>
            <m:sub>
              <m:d>
                <m:dPr>
                  <m:begChr m:val="["/>
                  <m:endChr m:val="]"/>
                  <m:sepChr m:val=""/>
                  <m:grow/>
                </m:dPr>
                <m:e>
                  <m:r>
                    <m:t>C</m:t>
                  </m:r>
                </m:e>
              </m:d>
              <m:r>
                <m:rPr>
                  <m:sty m:val="p"/>
                </m:rPr>
                <m:t>∈</m:t>
              </m:r>
              <m:sSub>
                <m:e>
                  <m:r>
                    <m:t>Ω</m:t>
                  </m:r>
                </m:e>
                <m:sub>
                  <m:r>
                    <m:t>N</m:t>
                  </m:r>
                </m:sub>
              </m:sSub>
            </m:sub>
            <m:sup>
              <m:r>
                <m:t>​</m:t>
              </m:r>
            </m:sup>
            <m:e>
              <m:f>
                <m:fPr>
                  <m:type m:val="bar"/>
                </m:fPr>
                <m:num>
                  <m:r>
                    <m:t>f</m:t>
                  </m:r>
                  <m:d>
                    <m:dPr>
                      <m:begChr m:val="("/>
                      <m:endChr m:val=")"/>
                      <m:sepChr m:val=""/>
                      <m:grow/>
                    </m:dPr>
                    <m:e>
                      <m:r>
                        <m:t>C</m:t>
                      </m:r>
                    </m:e>
                  </m:d>
                </m:num>
                <m:den>
                  <m:d>
                    <m:dPr>
                      <m:begChr m:val="|"/>
                      <m:endChr m:val="|"/>
                      <m:sepChr m:val=""/>
                      <m:grow/>
                    </m:dPr>
                    <m:e>
                      <m:r>
                        <m:rPr>
                          <m:sty m:val="p"/>
                        </m:rPr>
                        <m:t>Aut</m:t>
                      </m:r>
                      <m:d>
                        <m:dPr>
                          <m:begChr m:val="("/>
                          <m:endChr m:val=")"/>
                          <m:sepChr m:val=""/>
                          <m:grow/>
                        </m:dPr>
                        <m:e>
                          <m:r>
                            <m:t>C</m:t>
                          </m:r>
                        </m:e>
                      </m:d>
                    </m:e>
                  </m:d>
                </m:den>
              </m:f>
            </m:e>
          </m:nary>
          <m:r>
            <m:rPr>
              <m:sty m:val="p"/>
            </m:rPr>
            <m:t>.</m:t>
          </m:r>
        </m:oMath>
      </m:oMathPara>
    </w:p>
    <w:p>
      <w:pPr>
        <w:pStyle w:val="FirstParagraph"/>
        <w:widowControl/>
      </w:pPr>
      <w:r>
        <w:t xml:space="preserve">Begründung: Die Bahn einer Ordnung besitzt</w:t>
      </w:r>
      <w:r>
        <w:t xml:space="preserve"> </w:t>
      </w:r>
      <m:oMath>
        <m:r>
          <m:t>N</m:t>
        </m:r>
        <m:r>
          <m:rPr>
            <m:sty m:val="p"/>
          </m:rPr>
          <m:t>!</m:t>
        </m:r>
        <m:r>
          <m:rPr>
            <m:sty m:val="p"/>
          </m:rPr>
          <m:t>/</m:t>
        </m:r>
        <m:d>
          <m:dPr>
            <m:begChr m:val="|"/>
            <m:endChr m:val="|"/>
            <m:sepChr m:val=""/>
            <m:grow/>
          </m:dPr>
          <m:e>
            <m:r>
              <m:rPr>
                <m:sty m:val="p"/>
              </m:rPr>
              <m:t>Aut</m:t>
            </m:r>
            <m:d>
              <m:dPr>
                <m:begChr m:val="("/>
                <m:endChr m:val=")"/>
                <m:sepChr m:val=""/>
                <m:grow/>
              </m:dPr>
              <m:e>
                <m:r>
                  <m:t>C</m:t>
                </m:r>
              </m:e>
            </m:d>
          </m:e>
        </m:d>
      </m:oMath>
      <w:r>
        <w:t xml:space="preserve"> </w:t>
      </w:r>
      <w:r>
        <w:t xml:space="preserve">verschiedene Beschriftungen. Eine Summe nur über topologisch sortierte Beschriftungen hat andere Multiplizitäten und ist von dieser Identität nicht erfasst.</w:t>
      </w:r>
    </w:p>
    <w:p>
      <w:pPr>
        <w:pStyle w:val="BodyText"/>
        <w:widowControl/>
      </w:pPr>
      <w:r>
        <w:t xml:space="preserve">Für Materie werden ein Raum</w:t>
      </w:r>
      <w:r>
        <w:t xml:space="preserve"> </w:t>
      </w:r>
      <m:oMath>
        <m:sSub>
          <m:e>
            <m:r>
              <m:t>Φ</m:t>
            </m:r>
          </m:e>
          <m:sub>
            <m:r>
              <m:t>C</m:t>
            </m:r>
          </m:sub>
        </m:sSub>
      </m:oMath>
      <w:r>
        <w:t xml:space="preserve">, ein Mass</w:t>
      </w:r>
      <w:r>
        <w:t xml:space="preserve"> </w:t>
      </w:r>
      <m:oMath>
        <m:r>
          <m:t>d</m:t>
        </m:r>
        <m:sSub>
          <m:e>
            <m:r>
              <m:t>ν</m:t>
            </m:r>
          </m:e>
          <m:sub>
            <m:r>
              <m:t>C</m:t>
            </m:r>
          </m:sub>
        </m:sSub>
      </m:oMath>
      <w:r>
        <w:t xml:space="preserve"> </w:t>
      </w:r>
      <w:r>
        <w:t xml:space="preserve">und ein regulatorisch definierter Integrationsweg benötigt. Dann ersetzt</w:t>
      </w:r>
      <w:r>
        <w:t xml:space="preserve"> </w:t>
      </w:r>
      <m:oMath>
        <m:nary>
          <m:naryPr>
            <m:chr m:val="∫"/>
            <m:limLoc m:val="subSup"/>
            <m:subHide m:val="off"/>
            <m:supHide m:val="on"/>
          </m:naryPr>
          <m:sub>
            <m:sSub>
              <m:e>
                <m:r>
                  <m:t>Φ</m:t>
                </m:r>
              </m:e>
              <m:sub>
                <m:r>
                  <m:t>C</m:t>
                </m:r>
              </m:sub>
            </m:sSub>
          </m:sub>
          <m:sup>
            <m:r>
              <m:t>​</m:t>
            </m:r>
          </m:sup>
          <m:e>
            <m:sSup>
              <m:e>
                <m:r>
                  <m:t>e</m:t>
                </m:r>
              </m:e>
              <m:sup>
                <m:r>
                  <m:t>i</m:t>
                </m:r>
                <m:sSub>
                  <m:e>
                    <m:r>
                      <m:t>s</m:t>
                    </m:r>
                  </m:e>
                  <m:sub>
                    <m:r>
                      <m:t>N</m:t>
                    </m:r>
                  </m:sub>
                </m:sSub>
                <m:d>
                  <m:dPr>
                    <m:begChr m:val="("/>
                    <m:endChr m:val=")"/>
                    <m:sepChr m:val=""/>
                    <m:grow/>
                  </m:dPr>
                  <m:e>
                    <m:r>
                      <m:t>C</m:t>
                    </m:r>
                    <m:r>
                      <m:rPr>
                        <m:sty m:val="p"/>
                      </m:rPr>
                      <m:t>,</m:t>
                    </m:r>
                    <m:r>
                      <m:t>ϕ</m:t>
                    </m:r>
                  </m:e>
                </m:d>
              </m:sup>
            </m:sSup>
          </m:e>
        </m:nary>
        <m:r>
          <m:t>d</m:t>
        </m:r>
        <m:sSub>
          <m:e>
            <m:r>
              <m:t>ν</m:t>
            </m:r>
          </m:e>
          <m:sub>
            <m:r>
              <m:t>C</m:t>
            </m:r>
          </m:sub>
        </m:sSub>
      </m:oMath>
      <w:r>
        <w:t xml:space="preserve"> </w:t>
      </w:r>
      <w:r>
        <w:t xml:space="preserve">die reine Phasenamplitude. Ein oszillatorisches Integral ist ohne Konvergenz- oder Distributionsvorschrift nicht automatisch definiert.</w:t>
      </w:r>
    </w:p>
    <w:p>
      <w:pPr>
        <w:pStyle w:val="BodyText"/>
        <w:widowControl/>
      </w:pPr>
      <w:r>
        <w:t xml:space="preserve">Eine optionale Summe über Grössen wird zunächst abgeschnitten:</w:t>
      </w:r>
    </w:p>
    <w:p>
      <w:pPr>
        <w:pStyle w:val="BodyText"/>
        <w:keepLines/>
        <w:widowControl/>
        <w:spacing w:before="60" w:after="160"/>
      </w:pPr>
      <m:oMathPara>
        <m:oMathParaPr>
          <m:jc m:val="center"/>
        </m:oMathParaPr>
        <m:oMath>
          <m:sSub>
            <m:e>
              <m:r>
                <m:t>Z</m:t>
              </m:r>
            </m:e>
            <m:sub>
              <m:r>
                <m:rPr>
                  <m:sty m:val="p"/>
                </m:rPr>
                <m:t>≤</m:t>
              </m:r>
              <m:r>
                <m:t>M</m:t>
              </m:r>
            </m:sub>
          </m:sSub>
          <m:d>
            <m:dPr>
              <m:begChr m:val="("/>
              <m:endChr m:val=")"/>
              <m:sepChr m:val=""/>
              <m:grow/>
            </m:dPr>
            <m:e>
              <m:r>
                <m:t>A</m:t>
              </m:r>
              <m:r>
                <m:rPr>
                  <m:sty m:val="p"/>
                </m:rPr>
                <m:t>;</m:t>
              </m:r>
              <m:r>
                <m:t>z</m:t>
              </m:r>
            </m:e>
          </m:d>
          <m:r>
            <m:rPr>
              <m:sty m:val="p"/>
            </m:rPr>
            <m:t>=</m:t>
          </m:r>
          <m:nary>
            <m:naryPr>
              <m:chr m:val="∑"/>
              <m:limLoc m:val="undOvr"/>
              <m:subHide m:val="off"/>
              <m:supHide m:val="off"/>
            </m:naryPr>
            <m:sub>
              <m:r>
                <m:t>N</m:t>
              </m:r>
              <m:r>
                <m:rPr>
                  <m:sty m:val="p"/>
                </m:rPr>
                <m:t>=</m:t>
              </m:r>
              <m:r>
                <m:t>0</m:t>
              </m:r>
            </m:sub>
            <m:sup>
              <m:r>
                <m:t>M</m:t>
              </m:r>
            </m:sup>
            <m:e>
              <m:sSup>
                <m:e>
                  <m:r>
                    <m:t>z</m:t>
                  </m:r>
                </m:e>
                <m:sup>
                  <m:r>
                    <m:t>N</m:t>
                  </m:r>
                </m:sup>
              </m:sSup>
            </m:e>
          </m:nary>
          <m:sSub>
            <m:e>
              <m:r>
                <m:t>Z</m:t>
              </m:r>
            </m:e>
            <m:sub>
              <m:r>
                <m:t>N</m:t>
              </m:r>
            </m:sub>
          </m:sSub>
          <m:d>
            <m:dPr>
              <m:begChr m:val="("/>
              <m:endChr m:val=")"/>
              <m:sepChr m:val=""/>
              <m:grow/>
            </m:dPr>
            <m:e>
              <m:r>
                <m:t>A</m:t>
              </m:r>
              <m:r>
                <m:rPr>
                  <m:sty m:val="p"/>
                </m:rPr>
                <m:t>∩</m:t>
              </m:r>
              <m:sSub>
                <m:e>
                  <m:r>
                    <m:t>Ω</m:t>
                  </m:r>
                </m:e>
                <m:sub>
                  <m:r>
                    <m:t>N</m:t>
                  </m:r>
                </m:sub>
              </m:sSub>
            </m:e>
          </m:d>
          <m:r>
            <m:rPr>
              <m:sty m:val="p"/>
            </m:rPr>
            <m:t>.</m:t>
          </m:r>
        </m:oMath>
      </m:oMathPara>
    </w:p>
    <w:p>
      <w:pPr>
        <w:pStyle w:val="FirstParagraph"/>
        <w:widowControl/>
      </w:pPr>
      <w:r>
        <w:t xml:space="preserve">Der Limes</w:t>
      </w:r>
      <w:r>
        <w:t xml:space="preserve"> </w:t>
      </w:r>
      <m:oMath>
        <m:r>
          <m:t>M</m:t>
        </m:r>
        <m:r>
          <m:rPr>
            <m:sty m:val="p"/>
          </m:rPr>
          <m:t>→</m:t>
        </m:r>
        <m:r>
          <m:rPr>
            <m:sty m:val="p"/>
          </m:rPr>
          <m:t>∞</m:t>
        </m:r>
      </m:oMath>
      <w:r>
        <w:t xml:space="preserve"> </w:t>
      </w:r>
      <w:r>
        <w:t xml:space="preserve">ist ein eigenes Problem. Ein endlicher Cutoff löst weder Divergenzen noch die Definition eines unendlichen quantalen Masses. Auch eine formal passende endliche Familie</w:t>
      </w:r>
      <w:r>
        <w:t xml:space="preserve"> </w:t>
      </w:r>
      <m:oMath>
        <m:sSub>
          <m:e>
            <m:r>
              <m:rPr>
                <m:sty m:val="p"/>
                <m:scr m:val="script"/>
              </m:rPr>
              <m:t>D</m:t>
            </m:r>
          </m:e>
          <m:sub>
            <m:r>
              <m:t>N</m:t>
            </m:r>
          </m:sub>
        </m:sSub>
      </m:oMath>
      <w:r>
        <w:t xml:space="preserve"> </w:t>
      </w:r>
      <w:r>
        <w:t xml:space="preserve">besitzt nicht automatisch eine konsistente Erweiterung auf unendliche Historien. [4]</w:t>
      </w:r>
    </w:p>
    <w:p>
      <w:pPr>
        <w:pStyle w:val="BodyText"/>
        <w:widowControl/>
      </w:pPr>
      <w:r>
        <w:rPr>
          <w:bCs/>
          <w:b/>
        </w:rPr>
        <w:t xml:space="preserve">Keine Wahrscheinlichkeitsregel:</w:t>
      </w:r>
      <w:r>
        <w:t xml:space="preserve"> </w:t>
      </w:r>
      <m:oMath>
        <m:sSub>
          <m:e>
            <m:r>
              <m:t>Z</m:t>
            </m:r>
          </m:e>
          <m:sub>
            <m:r>
              <m:t>N</m:t>
            </m:r>
          </m:sub>
        </m:sSub>
        <m:d>
          <m:dPr>
            <m:begChr m:val="("/>
            <m:endChr m:val=")"/>
            <m:sepChr m:val=""/>
            <m:grow/>
          </m:dPr>
          <m:e>
            <m:r>
              <m:t>A</m:t>
            </m:r>
          </m:e>
        </m:d>
        <m:r>
          <m:rPr>
            <m:sty m:val="p"/>
          </m:rPr>
          <m:t>/</m:t>
        </m:r>
        <m:sSub>
          <m:e>
            <m:r>
              <m:t>Z</m:t>
            </m:r>
          </m:e>
          <m:sub>
            <m:r>
              <m:t>N</m:t>
            </m:r>
          </m:sub>
        </m:sSub>
        <m:d>
          <m:dPr>
            <m:begChr m:val="("/>
            <m:endChr m:val=")"/>
            <m:sepChr m:val=""/>
            <m:grow/>
          </m:dPr>
          <m:e>
            <m:sSub>
              <m:e>
                <m:r>
                  <m:t>Ω</m:t>
                </m:r>
              </m:e>
              <m:sub>
                <m:r>
                  <m:t>N</m:t>
                </m:r>
              </m:sub>
            </m:sSub>
          </m:e>
        </m:d>
      </m:oMath>
      <w:r>
        <w:t xml:space="preserve"> </w:t>
      </w:r>
      <w:r>
        <w:t xml:space="preserve">kann komplex oder bei verschwindendem Nenner undefiniert sein. Auch</w:t>
      </w:r>
      <w:r>
        <w:t xml:space="preserve"> </w:t>
      </w:r>
      <m:oMath>
        <m:sSup>
          <m:e>
            <m:d>
              <m:dPr>
                <m:begChr m:val="|"/>
                <m:endChr m:val="|"/>
                <m:sepChr m:val=""/>
                <m:grow/>
              </m:dPr>
              <m:e>
                <m:sSub>
                  <m:e>
                    <m:r>
                      <m:t>Z</m:t>
                    </m:r>
                  </m:e>
                  <m:sub>
                    <m:r>
                      <m:t>N</m:t>
                    </m:r>
                  </m:sub>
                </m:sSub>
                <m:d>
                  <m:dPr>
                    <m:begChr m:val="("/>
                    <m:endChr m:val=")"/>
                    <m:sepChr m:val=""/>
                    <m:grow/>
                  </m:dPr>
                  <m:e>
                    <m:r>
                      <m:t>A</m:t>
                    </m:r>
                  </m:e>
                </m:d>
              </m:e>
            </m:d>
          </m:e>
          <m:sup>
            <m:r>
              <m:t>2</m:t>
            </m:r>
          </m:sup>
        </m:sSup>
      </m:oMath>
      <w:r>
        <w:t xml:space="preserve"> </w:t>
      </w:r>
      <w:r>
        <w:t xml:space="preserve">ist auf beliebigen disjunkten Ereignissen nicht additiv. Ein positives Hilfsensemble</w:t>
      </w:r>
      <w:r>
        <w:t xml:space="preserve"> </w:t>
      </w:r>
      <m:oMath>
        <m:sSub>
          <m:e>
            <m:r>
              <m:t>π</m:t>
            </m:r>
          </m:e>
          <m:sub>
            <m:r>
              <m:t>N</m:t>
            </m:r>
          </m:sub>
        </m:sSub>
        <m:d>
          <m:dPr>
            <m:begChr m:val="("/>
            <m:endChr m:val=")"/>
            <m:sepChr m:val=""/>
            <m:grow/>
          </m:dPr>
          <m:e>
            <m:r>
              <m:t>C</m:t>
            </m:r>
          </m:e>
        </m:d>
        <m:r>
          <m:rPr>
            <m:sty m:val="p"/>
          </m:rPr>
          <m:t>∝</m:t>
        </m:r>
        <m:sSub>
          <m:e>
            <m:r>
              <m:t>w</m:t>
            </m:r>
          </m:e>
          <m:sub>
            <m:r>
              <m:t>N</m:t>
            </m:r>
          </m:sub>
        </m:sSub>
        <m:d>
          <m:dPr>
            <m:begChr m:val="("/>
            <m:endChr m:val=")"/>
            <m:sepChr m:val=""/>
            <m:grow/>
          </m:dPr>
          <m:e>
            <m:r>
              <m:t>C</m:t>
            </m:r>
          </m:e>
        </m:d>
        <m:sSup>
          <m:e>
            <m:r>
              <m:t>e</m:t>
            </m:r>
          </m:e>
          <m:sup>
            <m:r>
              <m:rPr>
                <m:sty m:val="p"/>
              </m:rPr>
              <m:t>−</m:t>
            </m:r>
            <m:sSub>
              <m:e>
                <m:r>
                  <m:t>s</m:t>
                </m:r>
              </m:e>
              <m:sub>
                <m:r>
                  <m:t>E</m:t>
                </m:r>
              </m:sub>
            </m:sSub>
            <m:d>
              <m:dPr>
                <m:begChr m:val="("/>
                <m:endChr m:val=")"/>
                <m:sepChr m:val=""/>
                <m:grow/>
              </m:dPr>
              <m:e>
                <m:r>
                  <m:t>C</m:t>
                </m:r>
              </m:e>
            </m:d>
          </m:sup>
        </m:sSup>
      </m:oMath>
      <w:r>
        <w:t xml:space="preserve"> </w:t>
      </w:r>
      <w:r>
        <w:t xml:space="preserve">ist ein klassisches Samplingmodell. Ohne begründete analytische Fortsetzung oder Regewichtung liefert es keine lorentzischen Quantenwahrscheinlichkeiten.</w:t>
      </w:r>
    </w:p>
    <w:p>
      <w:pPr>
        <w:pStyle w:val="BodyText"/>
        <w:widowControl/>
      </w:pPr>
      <w:r>
        <w:t xml:space="preserve">CQG-0 startet mit festem</w:t>
      </w:r>
      <w:r>
        <w:t xml:space="preserve"> </w:t>
      </w:r>
      <m:oMath>
        <m:r>
          <m:t>N</m:t>
        </m:r>
      </m:oMath>
      <w:r>
        <w:t xml:space="preserve">, reinen Ordnungen und offen ausgewiesener Gewichtskonvention. Die spätere Entscheidung für ein physisches Zählmass bleibt Teil der Forschung.</w:t>
      </w:r>
    </w:p>
    <w:bookmarkEnd w:id="24"/>
    <w:bookmarkStart w:id="25" w:name="dekohärenz-und-messbare-vorhersagen"/>
    <w:p>
      <w:pPr>
        <w:pStyle w:val="Heading1"/>
        <w:pageBreakBefore/>
        <w:widowControl/>
      </w:pPr>
      <w:r>
        <w:rPr>
          <w:color w:val="000000"/>
        </w:rPr>
        <w:t xml:space="preserve">5 Dekohärenz und messbare Vorhersagen</w:t>
      </w:r>
    </w:p>
    <w:p>
      <w:pPr>
        <w:pStyle w:val="FirstParagraph"/>
        <w:widowControl/>
      </w:pPr>
      <w:r>
        <w:t xml:space="preserve">Die endliche Quantenebene verlangt ein hermitesches, biadditives und stark positives Funktional</w:t>
      </w:r>
      <w:r>
        <w:t xml:space="preserve"> </w:t>
      </w:r>
      <m:oMath>
        <m:sSub>
          <m:e>
            <m:r>
              <m:rPr>
                <m:sty m:val="p"/>
                <m:scr m:val="script"/>
              </m:rPr>
              <m:t>D</m:t>
            </m:r>
          </m:e>
          <m:sub>
            <m:r>
              <m:t>N</m:t>
            </m:r>
          </m:sub>
        </m:sSub>
      </m:oMath>
      <w:r>
        <w:t xml:space="preserve"> </w:t>
      </w:r>
      <w:r>
        <w:t xml:space="preserve">mit</w:t>
      </w:r>
      <w:r>
        <w:t xml:space="preserve"> </w:t>
      </w:r>
      <m:oMath>
        <m:sSub>
          <m:e>
            <m:r>
              <m:rPr>
                <m:sty m:val="p"/>
                <m:scr m:val="script"/>
              </m:rPr>
              <m:t>D</m:t>
            </m:r>
          </m:e>
          <m:sub>
            <m:r>
              <m:t>N</m:t>
            </m:r>
          </m:sub>
        </m:sSub>
        <m:d>
          <m:dPr>
            <m:begChr m:val="("/>
            <m:endChr m:val=")"/>
            <m:sepChr m:val=""/>
            <m:grow/>
          </m:dPr>
          <m:e>
            <m:sSub>
              <m:e>
                <m:r>
                  <m:t>Ω</m:t>
                </m:r>
              </m:e>
              <m:sub>
                <m:r>
                  <m:t>N</m:t>
                </m:r>
              </m:sub>
            </m:sSub>
            <m:r>
              <m:rPr>
                <m:sty m:val="p"/>
              </m:rPr>
              <m:t>,</m:t>
            </m:r>
            <m:sSub>
              <m:e>
                <m:r>
                  <m:t>Ω</m:t>
                </m:r>
              </m:e>
              <m:sub>
                <m:r>
                  <m:t>N</m:t>
                </m:r>
              </m:sub>
            </m:sSub>
          </m:e>
        </m:d>
        <m:r>
          <m:rPr>
            <m:sty m:val="p"/>
          </m:rPr>
          <m:t>=</m:t>
        </m:r>
        <m:r>
          <m:t>1</m:t>
        </m:r>
      </m:oMath>
      <w:r>
        <w:t xml:space="preserve">. Starke Positivität bedeutet, dass</w:t>
      </w:r>
      <w:r>
        <w:t xml:space="preserve"> </w:t>
      </w:r>
      <m:oMath>
        <m:sSub>
          <m:e>
            <m:d>
              <m:dPr>
                <m:begChr m:val="["/>
                <m:endChr m:val="]"/>
                <m:sepChr m:val=""/>
                <m:grow/>
              </m:dPr>
              <m:e>
                <m:sSub>
                  <m:e>
                    <m:r>
                      <m:rPr>
                        <m:sty m:val="p"/>
                        <m:scr m:val="script"/>
                      </m:rPr>
                      <m:t>D</m:t>
                    </m:r>
                  </m:e>
                  <m:sub>
                    <m:r>
                      <m:t>N</m:t>
                    </m:r>
                  </m:sub>
                </m:sSub>
                <m:d>
                  <m:dPr>
                    <m:begChr m:val="("/>
                    <m:endChr m:val=")"/>
                    <m:sepChr m:val=""/>
                    <m:grow/>
                  </m:dPr>
                  <m:e>
                    <m:sSub>
                      <m:e>
                        <m:r>
                          <m:t>A</m:t>
                        </m:r>
                      </m:e>
                      <m:sub>
                        <m:r>
                          <m:t>i</m:t>
                        </m:r>
                      </m:sub>
                    </m:sSub>
                    <m:r>
                      <m:rPr>
                        <m:sty m:val="p"/>
                      </m:rPr>
                      <m:t>,</m:t>
                    </m:r>
                    <m:sSub>
                      <m:e>
                        <m:r>
                          <m:t>A</m:t>
                        </m:r>
                      </m:e>
                      <m:sub>
                        <m:r>
                          <m:t>j</m:t>
                        </m:r>
                      </m:sub>
                    </m:sSub>
                  </m:e>
                </m:d>
              </m:e>
            </m:d>
          </m:e>
          <m:sub>
            <m:r>
              <m:t>i</m:t>
            </m:r>
            <m:r>
              <m:t>j</m:t>
            </m:r>
          </m:sub>
        </m:sSub>
      </m:oMath>
      <w:r>
        <w:t xml:space="preserve"> </w:t>
      </w:r>
      <w:r>
        <w:t xml:space="preserve">für jede endliche Ereignisfamilie positiv semidefinit ist. Die Quantalmass-Grösse ist</w:t>
      </w:r>
      <w:r>
        <w:t xml:space="preserve"> </w:t>
      </w:r>
      <m:oMath>
        <m:sSub>
          <m:e>
            <m:r>
              <m:t>μ</m:t>
            </m:r>
          </m:e>
          <m:sub>
            <m:r>
              <m:t>N</m:t>
            </m:r>
          </m:sub>
        </m:sSub>
        <m:d>
          <m:dPr>
            <m:begChr m:val="("/>
            <m:endChr m:val=")"/>
            <m:sepChr m:val=""/>
            <m:grow/>
          </m:dPr>
          <m:e>
            <m:r>
              <m:t>A</m:t>
            </m:r>
          </m:e>
        </m:d>
        <m:r>
          <m:rPr>
            <m:sty m:val="p"/>
          </m:rPr>
          <m:t>=</m:t>
        </m:r>
        <m:sSub>
          <m:e>
            <m:r>
              <m:rPr>
                <m:sty m:val="p"/>
                <m:scr m:val="script"/>
              </m:rPr>
              <m:t>D</m:t>
            </m:r>
          </m:e>
          <m:sub>
            <m:r>
              <m:t>N</m:t>
            </m:r>
          </m:sub>
        </m:sSub>
        <m:d>
          <m:dPr>
            <m:begChr m:val="("/>
            <m:endChr m:val=")"/>
            <m:sepChr m:val=""/>
            <m:grow/>
          </m:dPr>
          <m:e>
            <m:r>
              <m:t>A</m:t>
            </m:r>
            <m:r>
              <m:rPr>
                <m:sty m:val="p"/>
              </m:rPr>
              <m:t>,</m:t>
            </m:r>
            <m:r>
              <m:t>A</m:t>
            </m:r>
          </m:e>
        </m:d>
      </m:oMath>
      <w:r>
        <w:t xml:space="preserve">. [4,5]</w:t>
      </w:r>
    </w:p>
    <w:p>
      <w:pPr>
        <w:pStyle w:val="BodyText"/>
        <w:widowControl/>
      </w:pPr>
      <w:r>
        <w:t xml:space="preserve">Eine algebraisch wohldefinierte Konstruktion wählt für jede Historie einen Vektor</w:t>
      </w:r>
      <w:r>
        <w:t xml:space="preserve"> </w:t>
      </w:r>
      <m:oMath>
        <m:sSub>
          <m:e>
            <m:r>
              <m:t>v</m:t>
            </m:r>
          </m:e>
          <m:sub>
            <m:r>
              <m:t>C</m:t>
            </m:r>
          </m:sub>
        </m:sSub>
        <m:r>
          <m:rPr>
            <m:sty m:val="p"/>
          </m:rPr>
          <m:t>=</m:t>
        </m:r>
        <m:sSub>
          <m:e>
            <m:r>
              <m:t>a</m:t>
            </m:r>
          </m:e>
          <m:sub>
            <m:r>
              <m:t>N</m:t>
            </m:r>
          </m:sub>
        </m:sSub>
        <m:d>
          <m:dPr>
            <m:begChr m:val="("/>
            <m:endChr m:val=")"/>
            <m:sepChr m:val=""/>
            <m:grow/>
          </m:dPr>
          <m:e>
            <m:r>
              <m:t>C</m:t>
            </m:r>
          </m:e>
        </m:d>
        <m:sSub>
          <m:e>
            <m:r>
              <m:t>b</m:t>
            </m:r>
          </m:e>
          <m:sub>
            <m:r>
              <m:t>C</m:t>
            </m:r>
          </m:sub>
        </m:sSub>
      </m:oMath>
      <w:r>
        <w:t xml:space="preserve"> </w:t>
      </w:r>
      <w:r>
        <w:t xml:space="preserve">in einem gemeinsamen komplexen Hilbertraum. Für</w:t>
      </w:r>
      <w:r>
        <w:t xml:space="preserve"> </w:t>
      </w:r>
      <m:oMath>
        <m:sSub>
          <m:e>
            <m:r>
              <m:t>v</m:t>
            </m:r>
          </m:e>
          <m:sub>
            <m:r>
              <m:t>A</m:t>
            </m:r>
          </m:sub>
        </m:sSub>
        <m:r>
          <m:rPr>
            <m:sty m:val="p"/>
          </m:rPr>
          <m:t>=</m:t>
        </m:r>
        <m:nary>
          <m:naryPr>
            <m:chr m:val="∑"/>
            <m:limLoc m:val="undOvr"/>
            <m:subHide m:val="off"/>
            <m:supHide m:val="on"/>
          </m:naryPr>
          <m:sub>
            <m:r>
              <m:t>C</m:t>
            </m:r>
            <m:r>
              <m:rPr>
                <m:sty m:val="p"/>
              </m:rPr>
              <m:t>∈</m:t>
            </m:r>
            <m:r>
              <m:t>A</m:t>
            </m:r>
          </m:sub>
          <m:sup>
            <m:r>
              <m:t>​</m:t>
            </m:r>
          </m:sup>
          <m:e>
            <m:sSub>
              <m:e>
                <m:r>
                  <m:t>v</m:t>
                </m:r>
              </m:e>
              <m:sub>
                <m:r>
                  <m:t>C</m:t>
                </m:r>
              </m:sub>
            </m:sSub>
          </m:e>
        </m:nary>
      </m:oMath>
      <w:r>
        <w:t xml:space="preserve"> </w:t>
      </w:r>
      <w:r>
        <w:t xml:space="preserve">und</w:t>
      </w:r>
      <w:r>
        <w:t xml:space="preserve"> </w:t>
      </w:r>
      <m:oMath>
        <m:r>
          <m:rPr>
            <m:sty m:val="p"/>
          </m:rPr>
          <m:t>∥</m:t>
        </m:r>
        <m:sSub>
          <m:e>
            <m:r>
              <m:t>v</m:t>
            </m:r>
          </m:e>
          <m:sub>
            <m:sSub>
              <m:e>
                <m:r>
                  <m:t>Ω</m:t>
                </m:r>
              </m:e>
              <m:sub>
                <m:r>
                  <m:t>N</m:t>
                </m:r>
              </m:sub>
            </m:sSub>
          </m:sub>
        </m:sSub>
        <m:sSup>
          <m:e>
            <m:r>
              <m:rPr>
                <m:sty m:val="p"/>
              </m:rPr>
              <m:t>∥</m:t>
            </m:r>
          </m:e>
          <m:sup>
            <m:r>
              <m:t>2</m:t>
            </m:r>
          </m:sup>
        </m:sSup>
        <m:r>
          <m:rPr>
            <m:sty m:val="p"/>
          </m:rPr>
          <m:t>&gt;</m:t>
        </m:r>
        <m:r>
          <m:t>0</m:t>
        </m:r>
      </m:oMath>
      <w:r>
        <w:t xml:space="preserve"> </w:t>
      </w:r>
      <w:r>
        <w:t xml:space="preserve">setzen wir</w:t>
      </w:r>
    </w:p>
    <w:p>
      <w:pPr>
        <w:pStyle w:val="BodyText"/>
        <w:keepLines/>
        <w:widowControl/>
        <w:spacing w:before="60" w:after="160"/>
      </w:pPr>
      <m:oMathPara>
        <m:oMathParaPr>
          <m:jc m:val="center"/>
        </m:oMathParaPr>
        <m:oMath>
          <m:sSub>
            <m:e>
              <m:r>
                <m:rPr>
                  <m:sty m:val="p"/>
                  <m:scr m:val="script"/>
                </m:rPr>
                <m:t>D</m:t>
              </m:r>
            </m:e>
            <m:sub>
              <m:r>
                <m:t>N</m:t>
              </m:r>
            </m:sub>
          </m:sSub>
          <m:d>
            <m:dPr>
              <m:begChr m:val="("/>
              <m:endChr m:val=")"/>
              <m:sepChr m:val=""/>
              <m:grow/>
            </m:dPr>
            <m:e>
              <m:r>
                <m:t>A</m:t>
              </m:r>
              <m:r>
                <m:rPr>
                  <m:sty m:val="p"/>
                </m:rPr>
                <m:t>,</m:t>
              </m:r>
              <m:r>
                <m:t>B</m:t>
              </m:r>
            </m:e>
          </m:d>
          <m:r>
            <m:rPr>
              <m:sty m:val="p"/>
            </m:rPr>
            <m:t>=</m:t>
          </m:r>
          <m:f>
            <m:fPr>
              <m:type m:val="bar"/>
            </m:fPr>
            <m:num>
              <m:sSubSup>
                <m:e>
                  <m:r>
                    <m:t>v</m:t>
                  </m:r>
                </m:e>
                <m:sub>
                  <m:r>
                    <m:t>A</m:t>
                  </m:r>
                </m:sub>
                <m:sup>
                  <m:r>
                    <m:rPr>
                      <m:sty m:val="p"/>
                    </m:rPr>
                    <m:t>†</m:t>
                  </m:r>
                </m:sup>
              </m:sSubSup>
              <m:sSub>
                <m:e>
                  <m:r>
                    <m:t>v</m:t>
                  </m:r>
                </m:e>
                <m:sub>
                  <m:r>
                    <m:t>B</m:t>
                  </m:r>
                </m:sub>
              </m:sSub>
            </m:num>
            <m:den>
              <m:r>
                <m:rPr>
                  <m:sty m:val="p"/>
                </m:rPr>
                <m:t>∥</m:t>
              </m:r>
              <m:sSub>
                <m:e>
                  <m:r>
                    <m:t>v</m:t>
                  </m:r>
                </m:e>
                <m:sub>
                  <m:sSub>
                    <m:e>
                      <m:r>
                        <m:t>Ω</m:t>
                      </m:r>
                    </m:e>
                    <m:sub>
                      <m:r>
                        <m:t>N</m:t>
                      </m:r>
                    </m:sub>
                  </m:sSub>
                </m:sub>
              </m:sSub>
              <m:sSup>
                <m:e>
                  <m:r>
                    <m:rPr>
                      <m:sty m:val="p"/>
                    </m:rPr>
                    <m:t>∥</m:t>
                  </m:r>
                </m:e>
                <m:sup>
                  <m:r>
                    <m:t>2</m:t>
                  </m:r>
                </m:sup>
              </m:sSup>
            </m:den>
          </m:f>
          <m:r>
            <m:rPr>
              <m:sty m:val="p"/>
            </m:rPr>
            <m:t>.</m:t>
          </m:r>
        </m:oMath>
      </m:oMathPara>
    </w:p>
    <w:p>
      <w:pPr>
        <w:pStyle w:val="FirstParagraph"/>
        <w:widowControl/>
      </w:pPr>
      <w:r>
        <w:t xml:space="preserve">Hermitizität, Biadditivität und Normierung folgen unmittelbar. Für beliebige</w:t>
      </w:r>
      <w:r>
        <w:t xml:space="preserve"> </w:t>
      </w:r>
      <m:oMath>
        <m:sSub>
          <m:e>
            <m:r>
              <m:t>z</m:t>
            </m:r>
          </m:e>
          <m:sub>
            <m:r>
              <m:t>i</m:t>
            </m:r>
          </m:sub>
        </m:sSub>
      </m:oMath>
      <w:r>
        <w:t xml:space="preserve"> </w:t>
      </w:r>
      <w:r>
        <w:t xml:space="preserve">gilt</w:t>
      </w:r>
    </w:p>
    <w:p>
      <w:pPr>
        <w:pStyle w:val="BodyText"/>
        <w:keepLines/>
        <w:widowControl/>
        <w:spacing w:before="60" w:after="160"/>
      </w:pPr>
      <m:oMathPara>
        <m:oMathParaPr>
          <m:jc m:val="center"/>
        </m:oMathParaPr>
        <m:oMath>
          <m:nary>
            <m:naryPr>
              <m:chr m:val="∑"/>
              <m:limLoc m:val="undOvr"/>
              <m:subHide m:val="off"/>
              <m:supHide m:val="on"/>
            </m:naryPr>
            <m:sub>
              <m:r>
                <m:t>i</m:t>
              </m:r>
              <m:r>
                <m:t>j</m:t>
              </m:r>
            </m:sub>
            <m:sup>
              <m:r>
                <m:t>​</m:t>
              </m:r>
            </m:sup>
            <m:e>
              <m:sSub>
                <m:e>
                  <m:acc>
                    <m:accPr>
                      <m:chr m:val="‾"/>
                    </m:accPr>
                    <m:e>
                      <m:r>
                        <m:t>z</m:t>
                      </m:r>
                    </m:e>
                  </m:acc>
                </m:e>
                <m:sub>
                  <m:r>
                    <m:t>i</m:t>
                  </m:r>
                </m:sub>
              </m:sSub>
            </m:e>
          </m:nary>
          <m:sSub>
            <m:e>
              <m:r>
                <m:rPr>
                  <m:sty m:val="p"/>
                  <m:scr m:val="script"/>
                </m:rPr>
                <m:t>D</m:t>
              </m:r>
            </m:e>
            <m:sub>
              <m:r>
                <m:t>N</m:t>
              </m:r>
            </m:sub>
          </m:sSub>
          <m:d>
            <m:dPr>
              <m:begChr m:val="("/>
              <m:endChr m:val=")"/>
              <m:sepChr m:val=""/>
              <m:grow/>
            </m:dPr>
            <m:e>
              <m:sSub>
                <m:e>
                  <m:r>
                    <m:t>A</m:t>
                  </m:r>
                </m:e>
                <m:sub>
                  <m:r>
                    <m:t>i</m:t>
                  </m:r>
                </m:sub>
              </m:sSub>
              <m:r>
                <m:rPr>
                  <m:sty m:val="p"/>
                </m:rPr>
                <m:t>,</m:t>
              </m:r>
              <m:sSub>
                <m:e>
                  <m:r>
                    <m:t>A</m:t>
                  </m:r>
                </m:e>
                <m:sub>
                  <m:r>
                    <m:t>j</m:t>
                  </m:r>
                </m:sub>
              </m:sSub>
            </m:e>
          </m:d>
          <m:sSub>
            <m:e>
              <m:r>
                <m:t>z</m:t>
              </m:r>
            </m:e>
            <m:sub>
              <m:r>
                <m:t>j</m:t>
              </m:r>
            </m:sub>
          </m:sSub>
          <m:r>
            <m:rPr>
              <m:sty m:val="p"/>
            </m:rPr>
            <m:t>=</m:t>
          </m:r>
          <m:f>
            <m:fPr>
              <m:type m:val="bar"/>
            </m:fPr>
            <m:num>
              <m:r>
                <m:rPr>
                  <m:sty m:val="p"/>
                </m:rPr>
                <m:t>∥</m:t>
              </m:r>
              <m:nary>
                <m:naryPr>
                  <m:chr m:val="∑"/>
                  <m:limLoc m:val="undOvr"/>
                  <m:subHide m:val="off"/>
                  <m:supHide m:val="on"/>
                </m:naryPr>
                <m:sub>
                  <m:r>
                    <m:t>i</m:t>
                  </m:r>
                </m:sub>
                <m:sup>
                  <m:r>
                    <m:t>​</m:t>
                  </m:r>
                </m:sup>
                <m:e>
                  <m:sSub>
                    <m:e>
                      <m:r>
                        <m:t>z</m:t>
                      </m:r>
                    </m:e>
                    <m:sub>
                      <m:r>
                        <m:t>i</m:t>
                      </m:r>
                    </m:sub>
                  </m:sSub>
                </m:e>
              </m:nary>
              <m:sSub>
                <m:e>
                  <m:r>
                    <m:t>v</m:t>
                  </m:r>
                </m:e>
                <m:sub>
                  <m:sSub>
                    <m:e>
                      <m:r>
                        <m:t>A</m:t>
                      </m:r>
                    </m:e>
                    <m:sub>
                      <m:r>
                        <m:t>i</m:t>
                      </m:r>
                    </m:sub>
                  </m:sSub>
                </m:sub>
              </m:sSub>
              <m:sSup>
                <m:e>
                  <m:r>
                    <m:rPr>
                      <m:sty m:val="p"/>
                    </m:rPr>
                    <m:t>∥</m:t>
                  </m:r>
                </m:e>
                <m:sup>
                  <m:r>
                    <m:t>2</m:t>
                  </m:r>
                </m:sup>
              </m:sSup>
            </m:num>
            <m:den>
              <m:r>
                <m:rPr>
                  <m:sty m:val="p"/>
                </m:rPr>
                <m:t>∥</m:t>
              </m:r>
              <m:sSub>
                <m:e>
                  <m:r>
                    <m:t>v</m:t>
                  </m:r>
                </m:e>
                <m:sub>
                  <m:sSub>
                    <m:e>
                      <m:r>
                        <m:t>Ω</m:t>
                      </m:r>
                    </m:e>
                    <m:sub>
                      <m:r>
                        <m:t>N</m:t>
                      </m:r>
                    </m:sub>
                  </m:sSub>
                </m:sub>
              </m:sSub>
              <m:sSup>
                <m:e>
                  <m:r>
                    <m:rPr>
                      <m:sty m:val="p"/>
                    </m:rPr>
                    <m:t>∥</m:t>
                  </m:r>
                </m:e>
                <m:sup>
                  <m:r>
                    <m:t>2</m:t>
                  </m:r>
                </m:sup>
              </m:sSup>
            </m:den>
          </m:f>
          <m:r>
            <m:rPr>
              <m:sty m:val="p"/>
            </m:rPr>
            <m:t>≥</m:t>
          </m:r>
          <m:r>
            <m:t>0</m:t>
          </m:r>
          <m:r>
            <m:rPr>
              <m:sty m:val="p"/>
            </m:rPr>
            <m:t>.</m:t>
          </m:r>
        </m:oMath>
      </m:oMathPara>
    </w:p>
    <w:p>
      <w:pPr>
        <w:pStyle w:val="FirstParagraph"/>
        <w:widowControl/>
      </w:pPr>
      <w:r>
        <w:t xml:space="preserve">Das ist ein endlicher Konsistenzsatz, keine Herleitung der physikalisch richtigen Vektoren</w:t>
      </w:r>
      <w:r>
        <w:t xml:space="preserve"> </w:t>
      </w:r>
      <m:oMath>
        <m:sSub>
          <m:e>
            <m:r>
              <m:t>b</m:t>
            </m:r>
          </m:e>
          <m:sub>
            <m:r>
              <m:t>C</m:t>
            </m:r>
          </m:sub>
        </m:sSub>
      </m:oMath>
      <w:r>
        <w:t xml:space="preserve">. Randzustände, Verklebung von Regionen und Kovarianz müssen deren Wahl begründen. Sind alle</w:t>
      </w:r>
      <w:r>
        <w:t xml:space="preserve"> </w:t>
      </w:r>
      <m:oMath>
        <m:sSub>
          <m:e>
            <m:r>
              <m:t>b</m:t>
            </m:r>
          </m:e>
          <m:sub>
            <m:r>
              <m:t>C</m:t>
            </m:r>
          </m:sub>
        </m:sSub>
      </m:oMath>
      <w:r>
        <w:t xml:space="preserve"> </w:t>
      </w:r>
      <w:r>
        <w:t xml:space="preserve">identisch, entsteht im Wesentlichen eine Rang-eins-Amplitude. Sind alle orthogonal, verschwinden die Interferenzterme und damit die Phasenwirkung zwischen Historien. Beide Grenzfälle sind Pflichtkontrollen.</w:t>
      </w:r>
    </w:p>
    <w:p>
      <w:pPr>
        <w:pStyle w:val="BodyText"/>
        <w:widowControl/>
      </w:pPr>
      <w:r>
        <w:t xml:space="preserve">Eine Partition</w:t>
      </w:r>
      <w:r>
        <w:t xml:space="preserve"> </w:t>
      </w:r>
      <m:oMath>
        <m:r>
          <m:rPr>
            <m:sty m:val="p"/>
          </m:rPr>
          <m:t>{</m:t>
        </m:r>
        <m:sSub>
          <m:e>
            <m:r>
              <m:t>A</m:t>
            </m:r>
          </m:e>
          <m:sub>
            <m:r>
              <m:t>r</m:t>
            </m:r>
          </m:sub>
        </m:sSub>
        <m:r>
          <m:rPr>
            <m:sty m:val="p"/>
          </m:rPr>
          <m:t>}</m:t>
        </m:r>
      </m:oMath>
      <w:r>
        <w:t xml:space="preserve"> </w:t>
      </w:r>
      <w:r>
        <w:t xml:space="preserve">wird hier nur bei</w:t>
      </w:r>
      <w:r>
        <w:t xml:space="preserve"> </w:t>
      </w:r>
      <w:r>
        <w:rPr>
          <w:bCs/>
          <w:b/>
        </w:rPr>
        <w:t xml:space="preserve">mittlerer Dekohärenz</w:t>
      </w:r>
      <w:r>
        <w:t xml:space="preserve">, also</w:t>
      </w:r>
      <w:r>
        <w:t xml:space="preserve"> </w:t>
      </w:r>
      <m:oMath>
        <m:sSub>
          <m:e>
            <m:r>
              <m:rPr>
                <m:sty m:val="p"/>
                <m:scr m:val="script"/>
              </m:rPr>
              <m:t>D</m:t>
            </m:r>
          </m:e>
          <m:sub>
            <m:r>
              <m:t>N</m:t>
            </m:r>
          </m:sub>
        </m:sSub>
        <m:d>
          <m:dPr>
            <m:begChr m:val="("/>
            <m:endChr m:val=")"/>
            <m:sepChr m:val=""/>
            <m:grow/>
          </m:dPr>
          <m:e>
            <m:sSub>
              <m:e>
                <m:r>
                  <m:t>A</m:t>
                </m:r>
              </m:e>
              <m:sub>
                <m:r>
                  <m:t>r</m:t>
                </m:r>
              </m:sub>
            </m:sSub>
            <m:r>
              <m:rPr>
                <m:sty m:val="p"/>
              </m:rPr>
              <m:t>,</m:t>
            </m:r>
            <m:sSub>
              <m:e>
                <m:r>
                  <m:t>A</m:t>
                </m:r>
              </m:e>
              <m:sub>
                <m:r>
                  <m:t>s</m:t>
                </m:r>
              </m:sub>
            </m:sSub>
          </m:e>
        </m:d>
        <m:r>
          <m:rPr>
            <m:sty m:val="p"/>
          </m:rPr>
          <m:t>=</m:t>
        </m:r>
        <m:r>
          <m:t>0</m:t>
        </m:r>
      </m:oMath>
      <w:r>
        <w:t xml:space="preserve"> </w:t>
      </w:r>
      <w:r>
        <w:t xml:space="preserve">für</w:t>
      </w:r>
      <w:r>
        <w:t xml:space="preserve"> </w:t>
      </w:r>
      <m:oMath>
        <m:r>
          <m:t>r</m:t>
        </m:r>
        <m:r>
          <m:rPr>
            <m:sty m:val="p"/>
          </m:rPr>
          <m:t>≠</m:t>
        </m:r>
        <m:r>
          <m:t>s</m:t>
        </m:r>
      </m:oMath>
      <w:r>
        <w:t xml:space="preserve">, als klassische Ergebnisalternative verwendet. Dann gelten</w:t>
      </w:r>
      <w:r>
        <w:t xml:space="preserve"> </w:t>
      </w:r>
      <m:oMath>
        <m:sSub>
          <m:e>
            <m:r>
              <m:t>p</m:t>
            </m:r>
          </m:e>
          <m:sub>
            <m:r>
              <m:t>N</m:t>
            </m:r>
          </m:sub>
        </m:sSub>
        <m:d>
          <m:dPr>
            <m:begChr m:val="("/>
            <m:endChr m:val=")"/>
            <m:sepChr m:val=""/>
            <m:grow/>
          </m:dPr>
          <m:e>
            <m:r>
              <m:t>r</m:t>
            </m:r>
          </m:e>
        </m:d>
        <m:r>
          <m:rPr>
            <m:sty m:val="p"/>
          </m:rPr>
          <m:t>=</m:t>
        </m:r>
        <m:sSub>
          <m:e>
            <m:r>
              <m:rPr>
                <m:sty m:val="p"/>
                <m:scr m:val="script"/>
              </m:rPr>
              <m:t>D</m:t>
            </m:r>
          </m:e>
          <m:sub>
            <m:r>
              <m:t>N</m:t>
            </m:r>
          </m:sub>
        </m:sSub>
        <m:d>
          <m:dPr>
            <m:begChr m:val="("/>
            <m:endChr m:val=")"/>
            <m:sepChr m:val=""/>
            <m:grow/>
          </m:dPr>
          <m:e>
            <m:sSub>
              <m:e>
                <m:r>
                  <m:t>A</m:t>
                </m:r>
              </m:e>
              <m:sub>
                <m:r>
                  <m:t>r</m:t>
                </m:r>
              </m:sub>
            </m:sSub>
            <m:r>
              <m:rPr>
                <m:sty m:val="p"/>
              </m:rPr>
              <m:t>,</m:t>
            </m:r>
            <m:sSub>
              <m:e>
                <m:r>
                  <m:t>A</m:t>
                </m:r>
              </m:e>
              <m:sub>
                <m:r>
                  <m:t>r</m:t>
                </m:r>
              </m:sub>
            </m:sSub>
          </m:e>
        </m:d>
        <m:r>
          <m:rPr>
            <m:sty m:val="p"/>
          </m:rPr>
          <m:t>≥</m:t>
        </m:r>
        <m:r>
          <m:t>0</m:t>
        </m:r>
      </m:oMath>
      <w:r>
        <w:t xml:space="preserve"> </w:t>
      </w:r>
      <w:r>
        <w:t xml:space="preserve">und</w:t>
      </w:r>
      <w:r>
        <w:t xml:space="preserve"> </w:t>
      </w:r>
      <m:oMath>
        <m:nary>
          <m:naryPr>
            <m:chr m:val="∑"/>
            <m:limLoc m:val="undOvr"/>
            <m:subHide m:val="off"/>
            <m:supHide m:val="on"/>
          </m:naryPr>
          <m:sub>
            <m:r>
              <m:t>r</m:t>
            </m:r>
          </m:sub>
          <m:sup>
            <m:r>
              <m:t>​</m:t>
            </m:r>
          </m:sup>
          <m:e>
            <m:sSub>
              <m:e>
                <m:r>
                  <m:t>p</m:t>
                </m:r>
              </m:e>
              <m:sub>
                <m:r>
                  <m:t>N</m:t>
                </m:r>
              </m:sub>
            </m:sSub>
          </m:e>
        </m:nary>
        <m:d>
          <m:dPr>
            <m:begChr m:val="("/>
            <m:endChr m:val=")"/>
            <m:sepChr m:val=""/>
            <m:grow/>
          </m:dPr>
          <m:e>
            <m:r>
              <m:t>r</m:t>
            </m:r>
          </m:e>
        </m:d>
        <m:r>
          <m:rPr>
            <m:sty m:val="p"/>
          </m:rPr>
          <m:t>=</m:t>
        </m:r>
        <m:r>
          <m:t>1</m:t>
        </m:r>
      </m:oMath>
      <w:r>
        <w:t xml:space="preserve">. Für ungefähre Dekohärenz wird der gesamte Fehler kontrolliert:</w:t>
      </w:r>
    </w:p>
    <w:p>
      <w:pPr>
        <w:pStyle w:val="BodyText"/>
        <w:keepLines/>
        <w:widowControl/>
        <w:spacing w:before="60" w:after="160"/>
      </w:pPr>
      <m:oMathPara>
        <m:oMathParaPr>
          <m:jc m:val="center"/>
        </m:oMathParaPr>
        <m:oMath>
          <m:sSub>
            <m:e>
              <m:r>
                <m:t>ϵ</m:t>
              </m:r>
            </m:e>
            <m:sub>
              <m:r>
                <m:rPr>
                  <m:sty m:val="p"/>
                </m:rPr>
                <m:t>d</m:t>
              </m:r>
              <m:r>
                <m:rPr>
                  <m:sty m:val="p"/>
                </m:rPr>
                <m:t>e</m:t>
              </m:r>
              <m:r>
                <m:rPr>
                  <m:sty m:val="p"/>
                </m:rPr>
                <m:t>c</m:t>
              </m:r>
            </m:sub>
          </m:sSub>
          <m:r>
            <m:rPr>
              <m:sty m:val="p"/>
            </m:rPr>
            <m:t>=</m:t>
          </m:r>
          <m:nary>
            <m:naryPr>
              <m:chr m:val="∑"/>
              <m:limLoc m:val="undOvr"/>
              <m:subHide m:val="off"/>
              <m:supHide m:val="on"/>
            </m:naryPr>
            <m:sub>
              <m:r>
                <m:t>r</m:t>
              </m:r>
              <m:r>
                <m:rPr>
                  <m:sty m:val="p"/>
                </m:rPr>
                <m:t>≠</m:t>
              </m:r>
              <m:r>
                <m:t>s</m:t>
              </m:r>
            </m:sub>
            <m:sup>
              <m:r>
                <m:t>​</m:t>
              </m:r>
            </m:sup>
            <m:e>
              <m:d>
                <m:dPr>
                  <m:begChr m:val="|"/>
                  <m:endChr m:val="|"/>
                  <m:sepChr m:val=""/>
                  <m:grow/>
                </m:dPr>
                <m:e>
                  <m:sSub>
                    <m:e>
                      <m:r>
                        <m:rPr>
                          <m:sty m:val="p"/>
                          <m:scr m:val="script"/>
                        </m:rPr>
                        <m:t>D</m:t>
                      </m:r>
                    </m:e>
                    <m:sub>
                      <m:r>
                        <m:t>N</m:t>
                      </m:r>
                    </m:sub>
                  </m:sSub>
                  <m:d>
                    <m:dPr>
                      <m:begChr m:val="("/>
                      <m:endChr m:val=")"/>
                      <m:sepChr m:val=""/>
                      <m:grow/>
                    </m:dPr>
                    <m:e>
                      <m:sSub>
                        <m:e>
                          <m:r>
                            <m:t>A</m:t>
                          </m:r>
                        </m:e>
                        <m:sub>
                          <m:r>
                            <m:t>r</m:t>
                          </m:r>
                        </m:sub>
                      </m:sSub>
                      <m:r>
                        <m:rPr>
                          <m:sty m:val="p"/>
                        </m:rPr>
                        <m:t>,</m:t>
                      </m:r>
                      <m:sSub>
                        <m:e>
                          <m:r>
                            <m:t>A</m:t>
                          </m:r>
                        </m:e>
                        <m:sub>
                          <m:r>
                            <m:t>s</m:t>
                          </m:r>
                        </m:sub>
                      </m:sSub>
                    </m:e>
                  </m:d>
                </m:e>
              </m:d>
            </m:e>
          </m:nary>
          <m:r>
            <m:rPr>
              <m:sty m:val="p"/>
            </m:rPr>
            <m:t>.</m:t>
          </m:r>
        </m:oMath>
      </m:oMathPara>
    </w:p>
    <w:p>
      <w:pPr>
        <w:pStyle w:val="FirstParagraph"/>
        <w:widowControl/>
      </w:pPr>
      <w:r>
        <w:t xml:space="preserve">Eine kleine paarweise Abweichung reicht bei sehr vielen Alternativen nicht aus. Konditionierung und Interventionsprotokolle werden nur auf einem kompatiblen, dokumentierten Ergebnisraum eingeführt.</w:t>
      </w:r>
    </w:p>
    <w:p>
      <w:pPr>
        <w:pStyle w:val="BodyText"/>
        <w:widowControl/>
      </w:pPr>
      <w:r>
        <w:t xml:space="preserve">Ein reines Hilfsbeispiel mit</w:t>
      </w:r>
      <w:r>
        <w:t xml:space="preserve"> </w:t>
      </w:r>
      <m:oMath>
        <m:sSub>
          <m:e>
            <m:r>
              <m:t>v</m:t>
            </m:r>
          </m:e>
          <m:sub>
            <m:r>
              <m:t>1</m:t>
            </m:r>
          </m:sub>
        </m:sSub>
        <m:r>
          <m:rPr>
            <m:sty m:val="p"/>
          </m:rPr>
          <m:t>=</m:t>
        </m:r>
        <m:d>
          <m:dPr>
            <m:begChr m:val="("/>
            <m:endChr m:val=")"/>
            <m:sepChr m:val=""/>
            <m:grow/>
          </m:dPr>
          <m:e>
            <m:r>
              <m:t>1</m:t>
            </m:r>
            <m:r>
              <m:rPr>
                <m:sty m:val="p"/>
              </m:rPr>
              <m:t>,</m:t>
            </m:r>
            <m:r>
              <m:t>0</m:t>
            </m:r>
          </m:e>
        </m:d>
      </m:oMath>
      <w:r>
        <w:t xml:space="preserve">,</w:t>
      </w:r>
      <w:r>
        <w:t xml:space="preserve"> </w:t>
      </w:r>
      <m:oMath>
        <m:sSub>
          <m:e>
            <m:r>
              <m:t>v</m:t>
            </m:r>
          </m:e>
          <m:sub>
            <m:r>
              <m:t>2</m:t>
            </m:r>
          </m:sub>
        </m:sSub>
        <m:r>
          <m:rPr>
            <m:sty m:val="p"/>
          </m:rPr>
          <m:t>=</m:t>
        </m:r>
        <m:d>
          <m:dPr>
            <m:begChr m:val="("/>
            <m:endChr m:val=")"/>
            <m:sepChr m:val=""/>
            <m:grow/>
          </m:dPr>
          <m:e>
            <m:r>
              <m:t>1</m:t>
            </m:r>
            <m:r>
              <m:rPr>
                <m:sty m:val="p"/>
              </m:rPr>
              <m:t>+</m:t>
            </m:r>
            <m:r>
              <m:t>i</m:t>
            </m:r>
            <m:r>
              <m:rPr>
                <m:sty m:val="p"/>
              </m:rPr>
              <m:t>,</m:t>
            </m:r>
            <m:r>
              <m:t>0</m:t>
            </m:r>
          </m:e>
        </m:d>
      </m:oMath>
      <w:r>
        <w:t xml:space="preserve"> </w:t>
      </w:r>
      <w:r>
        <w:t xml:space="preserve">und</w:t>
      </w:r>
      <w:r>
        <w:t xml:space="preserve"> </w:t>
      </w:r>
      <m:oMath>
        <m:sSub>
          <m:e>
            <m:r>
              <m:t>v</m:t>
            </m:r>
          </m:e>
          <m:sub>
            <m:r>
              <m:t>3</m:t>
            </m:r>
          </m:sub>
        </m:sSub>
        <m:r>
          <m:rPr>
            <m:sty m:val="p"/>
          </m:rPr>
          <m:t>=</m:t>
        </m:r>
        <m:d>
          <m:dPr>
            <m:begChr m:val="("/>
            <m:endChr m:val=")"/>
            <m:sepChr m:val=""/>
            <m:grow/>
          </m:dPr>
          <m:e>
            <m:r>
              <m:t>0</m:t>
            </m:r>
            <m:r>
              <m:rPr>
                <m:sty m:val="p"/>
              </m:rPr>
              <m:t>,</m:t>
            </m:r>
            <m:r>
              <m:t>1</m:t>
            </m:r>
          </m:e>
        </m:d>
      </m:oMath>
      <w:r>
        <w:t xml:space="preserve"> </w:t>
      </w:r>
      <w:r>
        <w:t xml:space="preserve">ergibt</w:t>
      </w:r>
      <w:r>
        <w:t xml:space="preserve"> </w:t>
      </w:r>
      <m:oMath>
        <m:r>
          <m:t>μ</m:t>
        </m:r>
        <m:d>
          <m:dPr>
            <m:begChr m:val="("/>
            <m:endChr m:val=")"/>
            <m:sepChr m:val=""/>
            <m:grow/>
          </m:dPr>
          <m:e>
            <m:r>
              <m:rPr>
                <m:sty m:val="p"/>
              </m:rPr>
              <m:t>{</m:t>
            </m:r>
            <m:r>
              <m:t>1</m:t>
            </m:r>
            <m:r>
              <m:rPr>
                <m:sty m:val="p"/>
              </m:rPr>
              <m:t>,</m:t>
            </m:r>
            <m:r>
              <m:t>2</m:t>
            </m:r>
            <m:r>
              <m:rPr>
                <m:sty m:val="p"/>
              </m:rPr>
              <m:t>}</m:t>
            </m:r>
          </m:e>
        </m:d>
        <m:r>
          <m:rPr>
            <m:sty m:val="p"/>
          </m:rPr>
          <m:t>=</m:t>
        </m:r>
        <m:r>
          <m:t>5</m:t>
        </m:r>
        <m:r>
          <m:rPr>
            <m:sty m:val="p"/>
          </m:rPr>
          <m:t>/</m:t>
        </m:r>
        <m:r>
          <m:t>6</m:t>
        </m:r>
      </m:oMath>
      <w:r>
        <w:t xml:space="preserve">, während</w:t>
      </w:r>
      <w:r>
        <w:t xml:space="preserve"> </w:t>
      </w:r>
      <m:oMath>
        <m:r>
          <m:t>μ</m:t>
        </m:r>
        <m:d>
          <m:dPr>
            <m:begChr m:val="("/>
            <m:endChr m:val=")"/>
            <m:sepChr m:val=""/>
            <m:grow/>
          </m:dPr>
          <m:e>
            <m:r>
              <m:rPr>
                <m:sty m:val="p"/>
              </m:rPr>
              <m:t>{</m:t>
            </m:r>
            <m:r>
              <m:t>1</m:t>
            </m:r>
            <m:r>
              <m:rPr>
                <m:sty m:val="p"/>
              </m:rPr>
              <m:t>}</m:t>
            </m:r>
          </m:e>
        </m:d>
        <m:r>
          <m:rPr>
            <m:sty m:val="p"/>
          </m:rPr>
          <m:t>+</m:t>
        </m:r>
        <m:r>
          <m:t>μ</m:t>
        </m:r>
        <m:d>
          <m:dPr>
            <m:begChr m:val="("/>
            <m:endChr m:val=")"/>
            <m:sepChr m:val=""/>
            <m:grow/>
          </m:dPr>
          <m:e>
            <m:r>
              <m:rPr>
                <m:sty m:val="p"/>
              </m:rPr>
              <m:t>{</m:t>
            </m:r>
            <m:r>
              <m:t>2</m:t>
            </m:r>
            <m:r>
              <m:rPr>
                <m:sty m:val="p"/>
              </m:rPr>
              <m:t>}</m:t>
            </m:r>
          </m:e>
        </m:d>
        <m:r>
          <m:rPr>
            <m:sty m:val="p"/>
          </m:rPr>
          <m:t>=</m:t>
        </m:r>
        <m:r>
          <m:t>1</m:t>
        </m:r>
        <m:r>
          <m:rPr>
            <m:sty m:val="p"/>
          </m:rPr>
          <m:t>/</m:t>
        </m:r>
        <m:r>
          <m:t>2</m:t>
        </m:r>
      </m:oMath>
      <w:r>
        <w:t xml:space="preserve">. Die Partition</w:t>
      </w:r>
      <w:r>
        <w:t xml:space="preserve"> </w:t>
      </w:r>
      <m:oMath>
        <m:r>
          <m:rPr>
            <m:sty m:val="p"/>
          </m:rPr>
          <m:t>{</m:t>
        </m:r>
        <m:r>
          <m:rPr>
            <m:sty m:val="p"/>
          </m:rPr>
          <m:t>{</m:t>
        </m:r>
        <m:r>
          <m:t>1</m:t>
        </m:r>
        <m:r>
          <m:rPr>
            <m:sty m:val="p"/>
          </m:rPr>
          <m:t>,</m:t>
        </m:r>
        <m:r>
          <m:t>2</m:t>
        </m:r>
        <m:r>
          <m:rPr>
            <m:sty m:val="p"/>
          </m:rPr>
          <m:t>}</m:t>
        </m:r>
        <m:r>
          <m:rPr>
            <m:sty m:val="p"/>
          </m:rPr>
          <m:t>,</m:t>
        </m:r>
        <m:r>
          <m:rPr>
            <m:sty m:val="p"/>
          </m:rPr>
          <m:t>{</m:t>
        </m:r>
        <m:r>
          <m:t>3</m:t>
        </m:r>
        <m:r>
          <m:rPr>
            <m:sty m:val="p"/>
          </m:rPr>
          <m:t>}</m:t>
        </m:r>
        <m:r>
          <m:rPr>
            <m:sty m:val="p"/>
          </m:rPr>
          <m:t>}</m:t>
        </m:r>
      </m:oMath>
      <w:r>
        <w:t xml:space="preserve"> </w:t>
      </w:r>
      <w:r>
        <w:t xml:space="preserve">dekohäriert und hat Wahrscheinlichkeiten</w:t>
      </w:r>
      <w:r>
        <w:t xml:space="preserve"> </w:t>
      </w:r>
      <m:oMath>
        <m:r>
          <m:t>5</m:t>
        </m:r>
        <m:r>
          <m:rPr>
            <m:sty m:val="p"/>
          </m:rPr>
          <m:t>/</m:t>
        </m:r>
        <m:r>
          <m:t>6</m:t>
        </m:r>
      </m:oMath>
      <w:r>
        <w:t xml:space="preserve"> </w:t>
      </w:r>
      <w:r>
        <w:t xml:space="preserve">und</w:t>
      </w:r>
      <w:r>
        <w:t xml:space="preserve"> </w:t>
      </w:r>
      <m:oMath>
        <m:r>
          <m:t>1</m:t>
        </m:r>
        <m:r>
          <m:rPr>
            <m:sty m:val="p"/>
          </m:rPr>
          <m:t>/</m:t>
        </m:r>
        <m:r>
          <m:t>6</m:t>
        </m:r>
      </m:oMath>
      <w:r>
        <w:t xml:space="preserve">. Damit ist die Nichtadditivität unmittelbar sichtbar.</w:t>
      </w:r>
    </w:p>
    <w:bookmarkEnd w:id="25"/>
    <w:bookmarkStart w:id="26" w:name="Xe9711f62ddd6044b9b7f08c22cc7102e64e5a3e"/>
    <w:p>
      <w:pPr>
        <w:pStyle w:val="Heading1"/>
        <w:pageBreakBefore/>
        <w:widowControl/>
      </w:pPr>
      <w:r>
        <w:rPr>
          <w:color w:val="000000"/>
        </w:rPr>
        <w:t xml:space="preserve">6 Was emergente Quantendynamik bedeuten darf</w:t>
      </w:r>
    </w:p>
    <w:p>
      <w:pPr>
        <w:pStyle w:val="FirstParagraph"/>
        <w:widowControl/>
      </w:pPr>
      <w:r>
        <w:rPr>
          <w:bCs/>
          <w:b/>
        </w:rPr>
        <w:t xml:space="preserve">Profil CQG-Q:</w:t>
      </w:r>
      <w:r>
        <w:t xml:space="preserve"> </w:t>
      </w:r>
      <w:r>
        <w:t xml:space="preserve">Ein Dekohärenzfunktional oder eine andere Quantenstruktur wird auf mikroskopischer Ebene angenommen. Untersucht wird, ob daraus eine effektive Quantenfeld- oder Quantensystembeschreibung entsteht.</w:t>
      </w:r>
      <w:r>
        <w:t xml:space="preserve"> </w:t>
      </w:r>
      <w:r>
        <w:rPr>
          <w:bCs/>
          <w:b/>
        </w:rPr>
        <w:t xml:space="preserve">Profil CQG-EQ:</w:t>
      </w:r>
      <w:r>
        <w:t xml:space="preserve"> </w:t>
      </w:r>
      <w:r>
        <w:t xml:space="preserve">Die Quantenstruktur selbst soll aus allgemeinerer relationaler Dynamik rekonstruiert werden. Dafür fehlen hier noch die hinreichenden mikroskopischen Prinzipien. Das zweite Profil bleibt eine eigene offene Hypothese.</w:t>
      </w:r>
    </w:p>
    <w:p>
      <w:pPr>
        <w:pStyle w:val="BodyText"/>
        <w:widowControl/>
      </w:pPr>
      <w:r>
        <w:t xml:space="preserve">Eine gewöhnliche positive, lokale verborgene-Variablen-Verteilung mit messwahlunabhängigem</w:t>
      </w:r>
      <w:r>
        <w:t xml:space="preserve"> </w:t>
      </w:r>
      <m:oMath>
        <m:r>
          <m:t>π</m:t>
        </m:r>
      </m:oMath>
      <w:r>
        <w:t xml:space="preserve"> </w:t>
      </w:r>
      <w:r>
        <w:t xml:space="preserve">hat die Form</w:t>
      </w:r>
    </w:p>
    <w:p>
      <w:pPr>
        <w:pStyle w:val="BodyText"/>
        <w:keepLines/>
        <w:widowControl/>
        <w:spacing w:before="60" w:after="160"/>
      </w:pPr>
      <m:oMathPara>
        <m:oMathParaPr>
          <m:jc m:val="center"/>
        </m:oMathParaPr>
        <m:oMath>
          <m:r>
            <m:t>p</m:t>
          </m:r>
          <m:d>
            <m:dPr>
              <m:begChr m:val="("/>
              <m:endChr m:val=")"/>
              <m:sepChr m:val=""/>
              <m:grow/>
            </m:dPr>
            <m:e>
              <m:r>
                <m:t>a</m:t>
              </m:r>
              <m:r>
                <m:rPr>
                  <m:sty m:val="p"/>
                </m:rPr>
                <m:t>,</m:t>
              </m:r>
              <m:r>
                <m:t>b</m:t>
              </m:r>
              <m:r>
                <m:rPr>
                  <m:sty m:val="p"/>
                </m:rPr>
                <m:t>|</m:t>
              </m:r>
              <m:r>
                <m:t>x</m:t>
              </m:r>
              <m:r>
                <m:rPr>
                  <m:sty m:val="p"/>
                </m:rPr>
                <m:t>,</m:t>
              </m:r>
              <m:r>
                <m:t>y</m:t>
              </m:r>
            </m:e>
          </m:d>
          <m:r>
            <m:rPr>
              <m:sty m:val="p"/>
            </m:rPr>
            <m:t>=</m:t>
          </m:r>
          <m:r>
            <m:rPr>
              <m:sty m:val="p"/>
            </m:rPr>
            <m:t>∫</m:t>
          </m:r>
          <m:r>
            <m:t>π</m:t>
          </m:r>
          <m:d>
            <m:dPr>
              <m:begChr m:val="("/>
              <m:endChr m:val=")"/>
              <m:sepChr m:val=""/>
              <m:grow/>
            </m:dPr>
            <m:e>
              <m:r>
                <m:t>d</m:t>
              </m:r>
              <m:r>
                <m:t>λ</m:t>
              </m:r>
            </m:e>
          </m:d>
          <m:r>
            <m:t> </m:t>
          </m:r>
          <m:sSub>
            <m:e>
              <m:r>
                <m:t>p</m:t>
              </m:r>
            </m:e>
            <m:sub>
              <m:r>
                <m:t>A</m:t>
              </m:r>
            </m:sub>
          </m:sSub>
          <m:d>
            <m:dPr>
              <m:begChr m:val="("/>
              <m:endChr m:val=")"/>
              <m:sepChr m:val=""/>
              <m:grow/>
            </m:dPr>
            <m:e>
              <m:r>
                <m:t>a</m:t>
              </m:r>
              <m:r>
                <m:rPr>
                  <m:sty m:val="p"/>
                </m:rPr>
                <m:t>|</m:t>
              </m:r>
              <m:r>
                <m:t>x</m:t>
              </m:r>
              <m:r>
                <m:rPr>
                  <m:sty m:val="p"/>
                </m:rPr>
                <m:t>,</m:t>
              </m:r>
              <m:r>
                <m:t>λ</m:t>
              </m:r>
            </m:e>
          </m:d>
          <m:sSub>
            <m:e>
              <m:r>
                <m:t>p</m:t>
              </m:r>
            </m:e>
            <m:sub>
              <m:r>
                <m:t>B</m:t>
              </m:r>
            </m:sub>
          </m:sSub>
          <m:d>
            <m:dPr>
              <m:begChr m:val="("/>
              <m:endChr m:val=")"/>
              <m:sepChr m:val=""/>
              <m:grow/>
            </m:dPr>
            <m:e>
              <m:r>
                <m:t>b</m:t>
              </m:r>
              <m:r>
                <m:rPr>
                  <m:sty m:val="p"/>
                </m:rPr>
                <m:t>|</m:t>
              </m:r>
              <m:r>
                <m:t>y</m:t>
              </m:r>
              <m:r>
                <m:rPr>
                  <m:sty m:val="p"/>
                </m:rPr>
                <m:t>,</m:t>
              </m:r>
              <m:r>
                <m:t>λ</m:t>
              </m:r>
            </m:e>
          </m:d>
          <m:r>
            <m:rPr>
              <m:sty m:val="p"/>
            </m:rPr>
            <m:t>.</m:t>
          </m:r>
        </m:oMath>
      </m:oMathPara>
    </w:p>
    <w:p>
      <w:pPr>
        <w:pStyle w:val="FirstParagraph"/>
        <w:widowControl/>
      </w:pPr>
      <w:r>
        <w:t xml:space="preserve">Für binäre Ergebnisse gilt die CHSH-Schranke</w:t>
      </w:r>
      <w:r>
        <w:t xml:space="preserve"> </w:t>
      </w:r>
      <m:oMath>
        <m:d>
          <m:dPr>
            <m:begChr m:val="|"/>
            <m:endChr m:val="|"/>
            <m:sepChr m:val=""/>
            <m:grow/>
          </m:dPr>
          <m:e>
            <m:sSub>
              <m:e>
                <m:r>
                  <m:t>E</m:t>
                </m:r>
              </m:e>
              <m:sub>
                <m:r>
                  <m:t>00</m:t>
                </m:r>
              </m:sub>
            </m:sSub>
            <m:r>
              <m:rPr>
                <m:sty m:val="p"/>
              </m:rPr>
              <m:t>+</m:t>
            </m:r>
            <m:sSub>
              <m:e>
                <m:r>
                  <m:t>E</m:t>
                </m:r>
              </m:e>
              <m:sub>
                <m:r>
                  <m:t>01</m:t>
                </m:r>
              </m:sub>
            </m:sSub>
            <m:r>
              <m:rPr>
                <m:sty m:val="p"/>
              </m:rPr>
              <m:t>+</m:t>
            </m:r>
            <m:sSub>
              <m:e>
                <m:r>
                  <m:t>E</m:t>
                </m:r>
              </m:e>
              <m:sub>
                <m:r>
                  <m:t>10</m:t>
                </m:r>
              </m:sub>
            </m:sSub>
            <m:r>
              <m:rPr>
                <m:sty m:val="p"/>
              </m:rPr>
              <m:t>−</m:t>
            </m:r>
            <m:sSub>
              <m:e>
                <m:r>
                  <m:t>E</m:t>
                </m:r>
              </m:e>
              <m:sub>
                <m:r>
                  <m:t>11</m:t>
                </m:r>
              </m:sub>
            </m:sSub>
          </m:e>
        </m:d>
        <m:r>
          <m:rPr>
            <m:sty m:val="p"/>
          </m:rPr>
          <m:t>≤</m:t>
        </m:r>
        <m:r>
          <m:t>2</m:t>
        </m:r>
      </m:oMath>
      <w:r>
        <w:t xml:space="preserve">. Messwahlunabhängige lokale Nachverarbeitung erhält diese Form. Eine solche Destillation allein erzeugt daher keine Bell-verletzenden Korrelationen. Ein anderer Ausgang erfordert die transparente Änderung einer Voraussetzung; Nachselektion darf sie nicht verdecken. [6]</w:t>
      </w:r>
    </w:p>
    <w:p>
      <w:pPr>
        <w:pStyle w:val="BodyText"/>
        <w:widowControl/>
      </w:pPr>
      <w:r>
        <w:t xml:space="preserve">Für einen effektiven Quantenrückstand ist mindestens das Paket</w:t>
      </w:r>
    </w:p>
    <w:p>
      <w:pPr>
        <w:pStyle w:val="BodyText"/>
        <w:keepLines/>
        <w:widowControl/>
        <w:spacing w:before="60" w:after="160"/>
      </w:pPr>
      <m:oMathPara>
        <m:oMathParaPr>
          <m:jc m:val="center"/>
        </m:oMathParaPr>
        <m:oMath>
          <m:r>
            <m:rPr>
              <m:sty m:val="p"/>
              <m:scr m:val="fraktur"/>
            </m:rPr>
            <m:t>Q</m:t>
          </m:r>
          <m:r>
            <m:rPr>
              <m:sty m:val="p"/>
            </m:rPr>
            <m:t>=</m:t>
          </m:r>
          <m:d>
            <m:dPr>
              <m:begChr m:val="("/>
              <m:endChr m:val=")"/>
              <m:sepChr m:val=""/>
              <m:grow/>
            </m:dPr>
            <m:e>
              <m:r>
                <m:rPr>
                  <m:sty m:val="p"/>
                  <m:scr m:val="script"/>
                </m:rPr>
                <m:t>A</m:t>
              </m:r>
              <m:r>
                <m:rPr>
                  <m:sty m:val="p"/>
                </m:rPr>
                <m:t>,</m:t>
              </m:r>
              <m:r>
                <m:rPr>
                  <m:sty m:val="p"/>
                  <m:scr m:val="script"/>
                </m:rPr>
                <m:t>S</m:t>
              </m:r>
              <m:r>
                <m:rPr>
                  <m:sty m:val="p"/>
                </m:rPr>
                <m:t>,</m:t>
              </m:r>
              <m:r>
                <m:rPr>
                  <m:sty m:val="p"/>
                  <m:scr m:val="script"/>
                </m:rPr>
                <m:t>T</m:t>
              </m:r>
              <m:r>
                <m:rPr>
                  <m:sty m:val="p"/>
                </m:rPr>
                <m:t>,</m:t>
              </m:r>
              <m:r>
                <m:rPr>
                  <m:sty m:val="p"/>
                  <m:scr m:val="script"/>
                </m:rPr>
                <m:t>I</m:t>
              </m:r>
              <m:r>
                <m:rPr>
                  <m:sty m:val="p"/>
                </m:rPr>
                <m:t>,</m:t>
              </m:r>
              <m:r>
                <m:rPr>
                  <m:sty m:val="p"/>
                  <m:scr m:val="script"/>
                </m:rPr>
                <m:t>M</m:t>
              </m:r>
            </m:e>
          </m:d>
        </m:oMath>
      </m:oMathPara>
    </w:p>
    <w:p>
      <w:pPr>
        <w:pStyle w:val="FirstParagraph"/>
        <w:widowControl/>
      </w:pPr>
      <w:r>
        <w:t xml:space="preserve">zu spezifizieren: Observablenalgebra, positive normierte Zustände, Dynamik, Messinstrumente und die Zuordnung zu Ergebnisverteilungen. Nichtkommutativität, Systemkomposition, Positivität bei Kopplung an Hilfssysteme und Vorhersagen auf neuen Protokollen bilden eigenständige Gates. Eine Matrixdarstellung allein genügt nicht.</w:t>
      </w:r>
    </w:p>
    <w:p>
      <w:pPr>
        <w:pStyle w:val="BodyText"/>
        <w:widowControl/>
      </w:pPr>
      <w:r>
        <w:t xml:space="preserve">Als begrenzter Materieanschluss bietet sich ein freies skalares Feld auf festem</w:t>
      </w:r>
      <w:r>
        <w:t xml:space="preserve"> </w:t>
      </w:r>
      <m:oMath>
        <m:r>
          <m:t>C</m:t>
        </m:r>
      </m:oMath>
      <w:r>
        <w:t xml:space="preserve"> </w:t>
      </w:r>
      <w:r>
        <w:t xml:space="preserve">an. Ein begründeter retardierter Propagator</w:t>
      </w:r>
      <w:r>
        <w:t xml:space="preserve"> </w:t>
      </w:r>
      <m:oMath>
        <m:sSub>
          <m:e>
            <m:r>
              <m:t>G</m:t>
            </m:r>
          </m:e>
          <m:sub>
            <m:r>
              <m:t>R</m:t>
            </m:r>
          </m:sub>
        </m:sSub>
      </m:oMath>
      <w:r>
        <w:t xml:space="preserve">,</w:t>
      </w:r>
      <w:r>
        <w:t xml:space="preserve"> </w:t>
      </w:r>
      <m:oMath>
        <m:sSub>
          <m:e>
            <m:r>
              <m:t>G</m:t>
            </m:r>
          </m:e>
          <m:sub>
            <m:r>
              <m:t>A</m:t>
            </m:r>
          </m:sub>
        </m:sSub>
        <m:r>
          <m:rPr>
            <m:sty m:val="p"/>
          </m:rPr>
          <m:t>=</m:t>
        </m:r>
        <m:sSubSup>
          <m:e>
            <m:r>
              <m:t>G</m:t>
            </m:r>
          </m:e>
          <m:sub>
            <m:r>
              <m:t>R</m:t>
            </m:r>
          </m:sub>
          <m:sup>
            <m:r>
              <m:t>T</m:t>
            </m:r>
          </m:sup>
        </m:sSubSup>
      </m:oMath>
      <w:r>
        <w:t xml:space="preserve"> </w:t>
      </w:r>
      <w:r>
        <w:t xml:space="preserve">und</w:t>
      </w:r>
      <w:r>
        <w:t xml:space="preserve"> </w:t>
      </w:r>
      <m:oMath>
        <m:r>
          <m:t>Δ</m:t>
        </m:r>
        <m:r>
          <m:rPr>
            <m:sty m:val="p"/>
          </m:rPr>
          <m:t>=</m:t>
        </m:r>
        <m:sSub>
          <m:e>
            <m:r>
              <m:t>G</m:t>
            </m:r>
          </m:e>
          <m:sub>
            <m:r>
              <m:t>R</m:t>
            </m:r>
          </m:sub>
        </m:sSub>
        <m:r>
          <m:rPr>
            <m:sty m:val="p"/>
          </m:rPr>
          <m:t>−</m:t>
        </m:r>
        <m:sSub>
          <m:e>
            <m:r>
              <m:t>G</m:t>
            </m:r>
          </m:e>
          <m:sub>
            <m:r>
              <m:t>A</m:t>
            </m:r>
          </m:sub>
        </m:sSub>
      </m:oMath>
      <w:r>
        <w:t xml:space="preserve"> </w:t>
      </w:r>
      <w:r>
        <w:t xml:space="preserve">ermöglichen eine CCR-Algebra mit</w:t>
      </w:r>
      <w:r>
        <w:t xml:space="preserve"> </w:t>
      </w:r>
      <m:oMath>
        <m:d>
          <m:dPr>
            <m:begChr m:val="["/>
            <m:endChr m:val="]"/>
            <m:sepChr m:val=""/>
            <m:grow/>
          </m:dPr>
          <m:e>
            <m:sSub>
              <m:e>
                <m:acc>
                  <m:accPr>
                    <m:chr m:val="̂"/>
                  </m:accPr>
                  <m:e>
                    <m:r>
                      <m:t>ϕ</m:t>
                    </m:r>
                  </m:e>
                </m:acc>
              </m:e>
              <m:sub>
                <m:r>
                  <m:t>x</m:t>
                </m:r>
              </m:sub>
            </m:sSub>
            <m:r>
              <m:rPr>
                <m:sty m:val="p"/>
              </m:rPr>
              <m:t>,</m:t>
            </m:r>
            <m:sSub>
              <m:e>
                <m:acc>
                  <m:accPr>
                    <m:chr m:val="̂"/>
                  </m:accPr>
                  <m:e>
                    <m:r>
                      <m:t>ϕ</m:t>
                    </m:r>
                  </m:e>
                </m:acc>
              </m:e>
              <m:sub>
                <m:r>
                  <m:t>y</m:t>
                </m:r>
              </m:sub>
            </m:sSub>
          </m:e>
        </m:d>
        <m:r>
          <m:rPr>
            <m:sty m:val="p"/>
          </m:rPr>
          <m:t>=</m:t>
        </m:r>
        <m:r>
          <m:t>i</m:t>
        </m:r>
        <m:sSub>
          <m:e>
            <m:r>
              <m:t>Δ</m:t>
            </m:r>
          </m:e>
          <m:sub>
            <m:r>
              <m:t>x</m:t>
            </m:r>
            <m:r>
              <m:t>y</m:t>
            </m:r>
          </m:sub>
        </m:sSub>
        <m:r>
          <m:rPr>
            <m:sty m:val="b"/>
          </m:rPr>
          <m:t>1</m:t>
        </m:r>
      </m:oMath>
      <w:r>
        <w:t xml:space="preserve"> </w:t>
      </w:r>
      <w:r>
        <w:t xml:space="preserve">in passend normierten Einheiten. Die positive Spektralkomponente von</w:t>
      </w:r>
      <w:r>
        <w:t xml:space="preserve"> </w:t>
      </w:r>
      <m:oMath>
        <m:r>
          <m:t>i</m:t>
        </m:r>
        <m:r>
          <m:t>Δ</m:t>
        </m:r>
      </m:oMath>
      <w:r>
        <w:t xml:space="preserve"> </w:t>
      </w:r>
      <w:r>
        <w:t xml:space="preserve">liefert einen Kandidaten für die Zweipunktfunktion. Dies ist ein Anschluss an vorhandene kausale Mengenfeldtheorie, keine Herleitung von Materie. [7]</w:t>
      </w:r>
    </w:p>
    <w:p>
      <w:pPr>
        <w:pStyle w:val="BodyText"/>
        <w:widowControl/>
      </w:pPr>
      <w:r>
        <w:t xml:space="preserve">Nullmoden, Randabhängigkeit, Kontinuumsverhalten und Zustandswahl sind separat zu prüfen. Endlich viele Feldorte bedeuten nicht endlichdimensionale Hilberträume: Exakte nichttriviale CCR können wegen der Spur eines Kommutators nicht durch endliche Matrizen dargestellt werden.</w:t>
      </w:r>
    </w:p>
    <w:p>
      <w:pPr>
        <w:pStyle w:val="BodyText"/>
        <w:widowControl/>
      </w:pPr>
      <w:r>
        <w:t xml:space="preserve">Ein weiterer Schutz gegen Scheinschlüsse: Aus</w:t>
      </w:r>
      <w:r>
        <w:t xml:space="preserve"> </w:t>
      </w:r>
      <m:oMath>
        <m:sSub>
          <m:e>
            <m:r>
              <m:t>S</m:t>
            </m:r>
          </m:e>
          <m:sub>
            <m:r>
              <m:t>m</m:t>
            </m:r>
          </m:sub>
        </m:sSub>
        <m:r>
          <m:rPr>
            <m:sty m:val="p"/>
          </m:rPr>
          <m:t>=</m:t>
        </m:r>
        <m:f>
          <m:fPr>
            <m:type m:val="lin"/>
          </m:fPr>
          <m:num>
            <m:r>
              <m:t>1</m:t>
            </m:r>
          </m:num>
          <m:den>
            <m:r>
              <m:t>2</m:t>
            </m:r>
          </m:den>
        </m:f>
        <m:sSup>
          <m:e>
            <m:r>
              <m:t>ϕ</m:t>
            </m:r>
          </m:e>
          <m:sup>
            <m:r>
              <m:t>T</m:t>
            </m:r>
          </m:sup>
        </m:sSup>
        <m:sSub>
          <m:e>
            <m:r>
              <m:t>B</m:t>
            </m:r>
          </m:e>
          <m:sub>
            <m:r>
              <m:t>C</m:t>
            </m:r>
          </m:sub>
        </m:sSub>
        <m:r>
          <m:t>ϕ</m:t>
        </m:r>
      </m:oMath>
      <w:r>
        <w:t xml:space="preserve"> </w:t>
      </w:r>
      <w:r>
        <w:t xml:space="preserve">folgt bei Variation nur</w:t>
      </w:r>
      <w:r>
        <w:t xml:space="preserve"> </w:t>
      </w:r>
      <m:oMath>
        <m:d>
          <m:dPr>
            <m:begChr m:val="("/>
            <m:endChr m:val=")"/>
            <m:sepChr m:val=""/>
            <m:grow/>
          </m:dPr>
          <m:e>
            <m:sSub>
              <m:e>
                <m:r>
                  <m:t>B</m:t>
                </m:r>
              </m:e>
              <m:sub>
                <m:r>
                  <m:t>C</m:t>
                </m:r>
              </m:sub>
            </m:sSub>
            <m:r>
              <m:rPr>
                <m:sty m:val="p"/>
              </m:rPr>
              <m:t>+</m:t>
            </m:r>
            <m:sSubSup>
              <m:e>
                <m:r>
                  <m:t>B</m:t>
                </m:r>
              </m:e>
              <m:sub>
                <m:r>
                  <m:t>C</m:t>
                </m:r>
              </m:sub>
              <m:sup>
                <m:r>
                  <m:t>T</m:t>
                </m:r>
              </m:sup>
            </m:sSubSup>
          </m:e>
        </m:d>
        <m:r>
          <m:t>ϕ</m:t>
        </m:r>
        <m:r>
          <m:rPr>
            <m:sty m:val="p"/>
          </m:rPr>
          <m:t>/</m:t>
        </m:r>
        <m:r>
          <m:t>2</m:t>
        </m:r>
      </m:oMath>
      <w:r>
        <w:t xml:space="preserve">. Ein unsymmetrischer retardierter Operator wird so nicht unverändert zum Euler-Lagrange-Operator. Feldwirkung und kausale Antwort brauchen eine konsistente gemeinsame Konstruktion.</w:t>
      </w:r>
    </w:p>
    <w:bookmarkEnd w:id="26"/>
    <w:bookmarkStart w:id="27" w:name="sektorselektion-und-kr-unterdrückung"/>
    <w:p>
      <w:pPr>
        <w:pStyle w:val="Heading1"/>
        <w:pageBreakBefore/>
        <w:widowControl/>
      </w:pPr>
      <w:r>
        <w:rPr>
          <w:color w:val="000000"/>
        </w:rPr>
        <w:t xml:space="preserve">7 Sektorselektion und KR Unterdrückung</w:t>
      </w:r>
    </w:p>
    <w:p>
      <w:pPr>
        <w:pStyle w:val="FirstParagraph"/>
        <w:widowControl/>
      </w:pPr>
      <w:r>
        <w:t xml:space="preserve">Die Kleitman-Rothschild-Problematik betrifft den entropisch grossen Anteil stark geschichteter Ordnungen. Veröffentlichte Resultate zeigen unter bestimmten Annahmen eine Unterdrückung von KR- und weiteren geschichteten Sektoren im lorentzischen Pfadsummenansatz. Sie liefern keinen allgemeinen Beweis, dass alle verbleibenden Ordnungen vierdimensionale Raumzeiten approximieren. [8,9]</w:t>
      </w:r>
    </w:p>
    <w:p>
      <w:pPr>
        <w:pStyle w:val="BodyText"/>
        <w:widowControl/>
      </w:pPr>
      <w:r>
        <w:t xml:space="preserve">Für eine elementare Diagnose fixieren wir zwei beschriftete Schichten mit</w:t>
      </w:r>
      <w:r>
        <w:t xml:space="preserve"> </w:t>
      </w:r>
      <m:oMath>
        <m:sSub>
          <m:e>
            <m:r>
              <m:t>n</m:t>
            </m:r>
          </m:e>
          <m:sub>
            <m:r>
              <m:t>1</m:t>
            </m:r>
          </m:sub>
        </m:sSub>
        <m:r>
          <m:rPr>
            <m:sty m:val="p"/>
          </m:rPr>
          <m:t>,</m:t>
        </m:r>
        <m:sSub>
          <m:e>
            <m:r>
              <m:t>n</m:t>
            </m:r>
          </m:e>
          <m:sub>
            <m:r>
              <m:t>2</m:t>
            </m:r>
          </m:sub>
        </m:sSub>
      </m:oMath>
      <w:r>
        <w:t xml:space="preserve"> </w:t>
      </w:r>
      <w:r>
        <w:t xml:space="preserve">Elementen und</w:t>
      </w:r>
      <w:r>
        <w:t xml:space="preserve"> </w:t>
      </w:r>
      <m:oMath>
        <m:r>
          <m:t>m</m:t>
        </m:r>
        <m:r>
          <m:rPr>
            <m:sty m:val="p"/>
          </m:rPr>
          <m:t>=</m:t>
        </m:r>
        <m:sSub>
          <m:e>
            <m:r>
              <m:t>n</m:t>
            </m:r>
          </m:e>
          <m:sub>
            <m:r>
              <m:t>1</m:t>
            </m:r>
          </m:sub>
        </m:sSub>
        <m:sSub>
          <m:e>
            <m:r>
              <m:t>n</m:t>
            </m:r>
          </m:e>
          <m:sub>
            <m:r>
              <m:t>2</m:t>
            </m:r>
          </m:sub>
        </m:sSub>
      </m:oMath>
      <w:r>
        <w:t xml:space="preserve"> </w:t>
      </w:r>
      <w:r>
        <w:t xml:space="preserve">möglichen Relationen. Jede Kantenwahl ist eine Zweischichtenordnung; alle Relationen sind Links. Bei</w:t>
      </w:r>
      <w:r>
        <w:t xml:space="preserve"> </w:t>
      </w:r>
      <m:oMath>
        <m:r>
          <m:t>w</m:t>
        </m:r>
        <m:r>
          <m:rPr>
            <m:sty m:val="p"/>
          </m:rPr>
          <m:t>=</m:t>
        </m:r>
        <m:r>
          <m:t>1</m:t>
        </m:r>
      </m:oMath>
      <w:r>
        <w:t xml:space="preserve"> </w:t>
      </w:r>
      <w:r>
        <w:t xml:space="preserve">und</w:t>
      </w:r>
      <w:r>
        <w:t xml:space="preserve"> </w:t>
      </w:r>
      <m:oMath>
        <m:r>
          <m:t>s</m:t>
        </m:r>
        <m:r>
          <m:rPr>
            <m:sty m:val="p"/>
          </m:rPr>
          <m:t>=</m:t>
        </m:r>
        <m:r>
          <m:t>γ</m:t>
        </m:r>
        <m:d>
          <m:dPr>
            <m:begChr m:val="("/>
            <m:endChr m:val=")"/>
            <m:sepChr m:val=""/>
            <m:grow/>
          </m:dPr>
          <m:e>
            <m:r>
              <m:t>N</m:t>
            </m:r>
            <m:r>
              <m:rPr>
                <m:sty m:val="p"/>
              </m:rPr>
              <m:t>−</m:t>
            </m:r>
            <m:sSub>
              <m:e>
                <m:r>
                  <m:t>N</m:t>
                </m:r>
              </m:e>
              <m:sub>
                <m:r>
                  <m:t>0</m:t>
                </m:r>
              </m:sub>
            </m:sSub>
          </m:e>
        </m:d>
      </m:oMath>
      <w:r>
        <w:t xml:space="preserve"> </w:t>
      </w:r>
      <w:r>
        <w:t xml:space="preserve">gilt exakt</w:t>
      </w:r>
    </w:p>
    <w:p>
      <w:pPr>
        <w:pStyle w:val="BodyText"/>
        <w:keepLines/>
        <w:widowControl/>
        <w:spacing w:before="60" w:after="160"/>
      </w:pPr>
      <m:oMathPara>
        <m:oMathParaPr>
          <m:jc m:val="center"/>
        </m:oMathParaPr>
        <m:oMath>
          <m:sSub>
            <m:e>
              <m:r>
                <m:t>Z</m:t>
              </m:r>
            </m:e>
            <m:sub>
              <m:sSub>
                <m:e>
                  <m:r>
                    <m:t>n</m:t>
                  </m:r>
                </m:e>
                <m:sub>
                  <m:r>
                    <m:t>1</m:t>
                  </m:r>
                </m:sub>
              </m:sSub>
              <m:r>
                <m:rPr>
                  <m:sty m:val="p"/>
                </m:rPr>
                <m:t>,</m:t>
              </m:r>
              <m:sSub>
                <m:e>
                  <m:r>
                    <m:t>n</m:t>
                  </m:r>
                </m:e>
                <m:sub>
                  <m:r>
                    <m:t>2</m:t>
                  </m:r>
                </m:sub>
              </m:sSub>
            </m:sub>
          </m:sSub>
          <m:r>
            <m:rPr>
              <m:sty m:val="p"/>
            </m:rPr>
            <m:t>=</m:t>
          </m:r>
          <m:sSup>
            <m:e>
              <m:r>
                <m:t>e</m:t>
              </m:r>
            </m:e>
            <m:sup>
              <m:r>
                <m:t>i</m:t>
              </m:r>
              <m:r>
                <m:t>γ</m:t>
              </m:r>
              <m:r>
                <m:t>N</m:t>
              </m:r>
            </m:sup>
          </m:sSup>
          <m:sSup>
            <m:e>
              <m:d>
                <m:dPr>
                  <m:begChr m:val="("/>
                  <m:endChr m:val=")"/>
                  <m:sepChr m:val=""/>
                  <m:grow/>
                </m:dPr>
                <m:e>
                  <m:r>
                    <m:t>1</m:t>
                  </m:r>
                  <m:r>
                    <m:rPr>
                      <m:sty m:val="p"/>
                    </m:rPr>
                    <m:t>+</m:t>
                  </m:r>
                  <m:sSup>
                    <m:e>
                      <m:r>
                        <m:t>e</m:t>
                      </m:r>
                    </m:e>
                    <m:sup>
                      <m:r>
                        <m:rPr>
                          <m:sty m:val="p"/>
                        </m:rPr>
                        <m:t>−</m:t>
                      </m:r>
                      <m:r>
                        <m:t>i</m:t>
                      </m:r>
                      <m:r>
                        <m:t>γ</m:t>
                      </m:r>
                    </m:sup>
                  </m:sSup>
                </m:e>
              </m:d>
            </m:e>
            <m:sup>
              <m:r>
                <m:t>m</m:t>
              </m:r>
            </m:sup>
          </m:sSup>
          <m:r>
            <m:rPr>
              <m:sty m:val="p"/>
            </m:rPr>
            <m:t>,</m:t>
          </m:r>
        </m:oMath>
      </m:oMathPara>
    </w:p>
    <w:p>
      <w:pPr>
        <w:pStyle w:val="FirstParagraph"/>
        <w:keepLines/>
        <w:widowControl/>
        <w:spacing w:before="60" w:after="160"/>
      </w:pPr>
      <m:oMathPara>
        <m:oMathParaPr>
          <m:jc m:val="center"/>
        </m:oMathParaPr>
        <m:oMath>
          <m:d>
            <m:dPr>
              <m:begChr m:val="|"/>
              <m:endChr m:val="|"/>
              <m:sepChr m:val=""/>
              <m:grow/>
            </m:dPr>
            <m:e>
              <m:sSub>
                <m:e>
                  <m:r>
                    <m:t>Z</m:t>
                  </m:r>
                </m:e>
                <m:sub>
                  <m:sSub>
                    <m:e>
                      <m:r>
                        <m:t>n</m:t>
                      </m:r>
                    </m:e>
                    <m:sub>
                      <m:r>
                        <m:t>1</m:t>
                      </m:r>
                    </m:sub>
                  </m:sSub>
                  <m:r>
                    <m:rPr>
                      <m:sty m:val="p"/>
                    </m:rPr>
                    <m:t>,</m:t>
                  </m:r>
                  <m:sSub>
                    <m:e>
                      <m:r>
                        <m:t>n</m:t>
                      </m:r>
                    </m:e>
                    <m:sub>
                      <m:r>
                        <m:t>2</m:t>
                      </m:r>
                    </m:sub>
                  </m:sSub>
                </m:sub>
              </m:sSub>
            </m:e>
          </m:d>
          <m:r>
            <m:rPr>
              <m:sty m:val="p"/>
            </m:rPr>
            <m:t>=</m:t>
          </m:r>
          <m:sSup>
            <m:e>
              <m:d>
                <m:dPr>
                  <m:begChr m:val="("/>
                  <m:endChr m:val=")"/>
                  <m:sepChr m:val=""/>
                  <m:grow/>
                </m:dPr>
                <m:e>
                  <m:r>
                    <m:t>2</m:t>
                  </m:r>
                  <m:d>
                    <m:dPr>
                      <m:begChr m:val="|"/>
                      <m:endChr m:val="|"/>
                      <m:sepChr m:val=""/>
                      <m:grow/>
                    </m:dPr>
                    <m:e>
                      <m:r>
                        <m:rPr>
                          <m:sty m:val="p"/>
                        </m:rPr>
                        <m:t>cos</m:t>
                      </m:r>
                      <m:d>
                        <m:dPr>
                          <m:begChr m:val="("/>
                          <m:endChr m:val=")"/>
                          <m:sepChr m:val=""/>
                          <m:grow/>
                        </m:dPr>
                        <m:e>
                          <m:r>
                            <m:t>γ</m:t>
                          </m:r>
                          <m:r>
                            <m:rPr>
                              <m:sty m:val="p"/>
                            </m:rPr>
                            <m:t>/</m:t>
                          </m:r>
                          <m:r>
                            <m:t>2</m:t>
                          </m:r>
                        </m:e>
                      </m:d>
                    </m:e>
                  </m:d>
                </m:e>
              </m:d>
            </m:e>
            <m:sup>
              <m:r>
                <m:t>m</m:t>
              </m:r>
            </m:sup>
          </m:sSup>
          <m:r>
            <m:rPr>
              <m:sty m:val="p"/>
            </m:rPr>
            <m:t>,</m:t>
          </m:r>
          <m:r>
            <m:t>  </m:t>
          </m:r>
          <m:f>
            <m:fPr>
              <m:type m:val="bar"/>
            </m:fPr>
            <m:num>
              <m:d>
                <m:dPr>
                  <m:begChr m:val="|"/>
                  <m:endChr m:val="|"/>
                  <m:sepChr m:val=""/>
                  <m:grow/>
                </m:dPr>
                <m:e>
                  <m:sSub>
                    <m:e>
                      <m:r>
                        <m:t>Z</m:t>
                      </m:r>
                    </m:e>
                    <m:sub>
                      <m:sSub>
                        <m:e>
                          <m:r>
                            <m:t>n</m:t>
                          </m:r>
                        </m:e>
                        <m:sub>
                          <m:r>
                            <m:t>1</m:t>
                          </m:r>
                        </m:sub>
                      </m:sSub>
                      <m:r>
                        <m:rPr>
                          <m:sty m:val="p"/>
                        </m:rPr>
                        <m:t>,</m:t>
                      </m:r>
                      <m:sSub>
                        <m:e>
                          <m:r>
                            <m:t>n</m:t>
                          </m:r>
                        </m:e>
                        <m:sub>
                          <m:r>
                            <m:t>2</m:t>
                          </m:r>
                        </m:sub>
                      </m:sSub>
                    </m:sub>
                  </m:sSub>
                </m:e>
              </m:d>
            </m:num>
            <m:den>
              <m:sSup>
                <m:e>
                  <m:r>
                    <m:t>2</m:t>
                  </m:r>
                </m:e>
                <m:sup>
                  <m:r>
                    <m:t>m</m:t>
                  </m:r>
                </m:sup>
              </m:sSup>
            </m:den>
          </m:f>
          <m:r>
            <m:rPr>
              <m:sty m:val="p"/>
            </m:rPr>
            <m:t>=</m:t>
          </m:r>
          <m:sSup>
            <m:e>
              <m:d>
                <m:dPr>
                  <m:begChr m:val="|"/>
                  <m:endChr m:val="|"/>
                  <m:sepChr m:val=""/>
                  <m:grow/>
                </m:dPr>
                <m:e>
                  <m:r>
                    <m:rPr>
                      <m:sty m:val="p"/>
                    </m:rPr>
                    <m:t>cos</m:t>
                  </m:r>
                  <m:d>
                    <m:dPr>
                      <m:begChr m:val="("/>
                      <m:endChr m:val=")"/>
                      <m:sepChr m:val=""/>
                      <m:grow/>
                    </m:dPr>
                    <m:e>
                      <m:r>
                        <m:t>γ</m:t>
                      </m:r>
                      <m:r>
                        <m:rPr>
                          <m:sty m:val="p"/>
                        </m:rPr>
                        <m:t>/</m:t>
                      </m:r>
                      <m:r>
                        <m:t>2</m:t>
                      </m:r>
                    </m:e>
                  </m:d>
                </m:e>
              </m:d>
            </m:e>
            <m:sup>
              <m:r>
                <m:t>m</m:t>
              </m:r>
            </m:sup>
          </m:sSup>
          <m:r>
            <m:rPr>
              <m:sty m:val="p"/>
            </m:rPr>
            <m:t>.</m:t>
          </m:r>
        </m:oMath>
      </m:oMathPara>
    </w:p>
    <w:p>
      <w:pPr>
        <w:pStyle w:val="FirstParagraph"/>
        <w:widowControl/>
      </w:pPr>
      <w:r>
        <w:t xml:space="preserve">Die Identität folgt aus der unabhängigen Summe „Relation fehlt oder ist vorhanden“ für jedes Paar. Die normierte mittlere Phase kann abfallen, während die unnormierte Summe noch wächst. Absolute Unterdrückung dieser Summe verlangt</w:t>
      </w:r>
      <w:r>
        <w:t xml:space="preserve"> </w:t>
      </w:r>
      <m:oMath>
        <m:r>
          <m:t>2</m:t>
        </m:r>
        <m:d>
          <m:dPr>
            <m:begChr m:val="|"/>
            <m:endChr m:val="|"/>
            <m:sepChr m:val=""/>
            <m:grow/>
          </m:dPr>
          <m:e>
            <m:r>
              <m:rPr>
                <m:sty m:val="p"/>
              </m:rPr>
              <m:t>cos</m:t>
            </m:r>
            <m:d>
              <m:dPr>
                <m:begChr m:val="("/>
                <m:endChr m:val=")"/>
                <m:sepChr m:val=""/>
                <m:grow/>
              </m:dPr>
              <m:e>
                <m:r>
                  <m:t>γ</m:t>
                </m:r>
                <m:r>
                  <m:rPr>
                    <m:sty m:val="p"/>
                  </m:rPr>
                  <m:t>/</m:t>
                </m:r>
                <m:r>
                  <m:t>2</m:t>
                </m:r>
              </m:e>
            </m:d>
          </m:e>
        </m:d>
        <m:r>
          <m:rPr>
            <m:sty m:val="p"/>
          </m:rPr>
          <m:t>&lt;</m:t>
        </m:r>
        <m:r>
          <m:t>1</m:t>
        </m:r>
      </m:oMath>
      <w:r>
        <w:t xml:space="preserve">. Bei</w:t>
      </w:r>
      <w:r>
        <w:t xml:space="preserve"> </w:t>
      </w:r>
      <m:oMath>
        <m:r>
          <m:t>γ</m:t>
        </m:r>
        <m:r>
          <m:rPr>
            <m:sty m:val="p"/>
          </m:rPr>
          <m:t>=</m:t>
        </m:r>
        <m:r>
          <m:t>2</m:t>
        </m:r>
        <m:r>
          <m:t>π</m:t>
        </m:r>
        <m:r>
          <m:t>q</m:t>
        </m:r>
      </m:oMath>
      <w:r>
        <w:t xml:space="preserve"> </w:t>
      </w:r>
      <w:r>
        <w:t xml:space="preserve">mit ganzzahligem</w:t>
      </w:r>
      <w:r>
        <w:t xml:space="preserve"> </w:t>
      </w:r>
      <m:oMath>
        <m:r>
          <m:t>q</m:t>
        </m:r>
      </m:oMath>
      <w:r>
        <w:t xml:space="preserve"> </w:t>
      </w:r>
      <w:r>
        <w:t xml:space="preserve">gibt es keine Phasenauslöschung. Diese Diagnose gilt für den festgelegten Zweischichten-Zählraum und ist kein Ersatz für die KR-Asymptotik.</w:t>
      </w:r>
    </w:p>
    <w:p>
      <w:pPr>
        <w:pStyle w:val="BodyText"/>
        <w:widowControl/>
      </w:pPr>
      <w:r>
        <w:t xml:space="preserve">Das Sektorregister umfasst zusätzlich Posts, Ketten, baumartige Ordnungen, gemischte Ordnungen sowie Schichtenfamilien mit wachsender Höhe. Überlappende Klassen benötigen eine feste Zuordnungsregel oder eine explizite Überlappungsanalyse.</w:t>
      </w:r>
    </w:p>
    <w:p>
      <w:pPr>
        <w:pStyle w:val="BodyText"/>
        <w:widowControl/>
      </w:pPr>
      <w:r>
        <w:t xml:space="preserve">Eine nützliche Grössenordnungskontrolle ist die Erweiterung</w:t>
      </w:r>
      <w:r>
        <w:t xml:space="preserve"> </w:t>
      </w:r>
      <m:oMath>
        <m:r>
          <m:t>T</m:t>
        </m:r>
        <m:d>
          <m:dPr>
            <m:begChr m:val="("/>
            <m:endChr m:val=")"/>
            <m:sepChr m:val=""/>
            <m:grow/>
          </m:dPr>
          <m:e>
            <m:r>
              <m:t>C</m:t>
            </m:r>
          </m:e>
        </m:d>
      </m:oMath>
      <w:r>
        <w:t xml:space="preserve"> </w:t>
      </w:r>
      <w:r>
        <w:t xml:space="preserve">durch ein neues grösstes Element. Alte Intervalle bleiben erhalten; genau</w:t>
      </w:r>
      <w:r>
        <w:t xml:space="preserve"> </w:t>
      </w:r>
      <m:oMath>
        <m:r>
          <m:t>N</m:t>
        </m:r>
      </m:oMath>
      <w:r>
        <w:t xml:space="preserve"> </w:t>
      </w:r>
      <w:r>
        <w:t xml:space="preserve">neue vergleichbare Paare kommen hinzu. Deshalb gilt für den lokalen Kern</w:t>
      </w:r>
    </w:p>
    <w:p>
      <w:pPr>
        <w:pStyle w:val="BodyText"/>
        <w:keepLines/>
        <w:widowControl/>
        <w:spacing w:before="60" w:after="160"/>
      </w:pPr>
      <m:oMathPara>
        <m:oMathParaPr>
          <m:jc m:val="center"/>
        </m:oMathParaPr>
        <m:oMath>
          <m:d>
            <m:dPr>
              <m:begChr m:val="|"/>
              <m:endChr m:val="|"/>
              <m:sepChr m:val=""/>
              <m:grow/>
            </m:dPr>
            <m:e>
              <m:sSub>
                <m:e>
                  <m:r>
                    <m:t>I</m:t>
                  </m:r>
                </m:e>
                <m:sub>
                  <m:r>
                    <m:t>4</m:t>
                  </m:r>
                </m:sub>
              </m:sSub>
              <m:d>
                <m:dPr>
                  <m:begChr m:val="("/>
                  <m:endChr m:val=")"/>
                  <m:sepChr m:val=""/>
                  <m:grow/>
                </m:dPr>
                <m:e>
                  <m:r>
                    <m:t>T</m:t>
                  </m:r>
                  <m:d>
                    <m:dPr>
                      <m:begChr m:val="("/>
                      <m:endChr m:val=")"/>
                      <m:sepChr m:val=""/>
                      <m:grow/>
                    </m:dPr>
                    <m:e>
                      <m:r>
                        <m:t>C</m:t>
                      </m:r>
                    </m:e>
                  </m:d>
                </m:e>
              </m:d>
              <m:r>
                <m:rPr>
                  <m:sty m:val="p"/>
                </m:rPr>
                <m:t>−</m:t>
              </m:r>
              <m:sSub>
                <m:e>
                  <m:r>
                    <m:t>I</m:t>
                  </m:r>
                </m:e>
                <m:sub>
                  <m:r>
                    <m:t>4</m:t>
                  </m:r>
                </m:sub>
              </m:sSub>
              <m:d>
                <m:dPr>
                  <m:begChr m:val="("/>
                  <m:endChr m:val=")"/>
                  <m:sepChr m:val=""/>
                  <m:grow/>
                </m:dPr>
                <m:e>
                  <m:r>
                    <m:t>C</m:t>
                  </m:r>
                </m:e>
              </m:d>
            </m:e>
          </m:d>
          <m:r>
            <m:rPr>
              <m:sty m:val="p"/>
            </m:rPr>
            <m:t>≤</m:t>
          </m:r>
          <m:r>
            <m:t>1</m:t>
          </m:r>
          <m:r>
            <m:rPr>
              <m:sty m:val="p"/>
            </m:rPr>
            <m:t>+</m:t>
          </m:r>
          <m:r>
            <m:t>16</m:t>
          </m:r>
          <m:r>
            <m:t>N</m:t>
          </m:r>
          <m:r>
            <m:rPr>
              <m:sty m:val="p"/>
            </m:rPr>
            <m:t>.</m:t>
          </m:r>
        </m:oMath>
      </m:oMathPara>
    </w:p>
    <w:p>
      <w:pPr>
        <w:pStyle w:val="FirstParagraph"/>
        <w:widowControl/>
      </w:pPr>
      <w:r>
        <w:t xml:space="preserve">Begründung: Jedes neue Paar gehört genau einer Intervallklasse an; der grösste Betrag eines hier verwendeten Koeffizienten ist 16. Das neue grösste Element ist ein Post. Eine reine</w:t>
      </w:r>
      <w:r>
        <w:t xml:space="preserve"> </w:t>
      </w:r>
      <m:oMath>
        <m:sSup>
          <m:e>
            <m:r>
              <m:t>N</m:t>
            </m:r>
          </m:e>
          <m:sup>
            <m:r>
              <m:t>2</m:t>
            </m:r>
          </m:sup>
        </m:sSup>
      </m:oMath>
      <w:r>
        <w:t xml:space="preserve">-Asymptotik darf solche Beiträge nicht ohne weiteren Vergleich als erledigt behandeln.</w:t>
      </w:r>
    </w:p>
    <w:p>
      <w:pPr>
        <w:pStyle w:val="BodyText"/>
        <w:widowControl/>
      </w:pPr>
      <w:r>
        <w:t xml:space="preserve">Für quantitative Sektoraussagen werden Amplituden, Quantalmass und Wahrscheinlichkeiten dekohärenter Sektoren getrennt berichtet. Ein kleiner Sektorbeitrag zu</w:t>
      </w:r>
      <w:r>
        <w:t xml:space="preserve"> </w:t>
      </w:r>
      <m:oMath>
        <m:r>
          <m:t>Z</m:t>
        </m:r>
      </m:oMath>
      <w:r>
        <w:t xml:space="preserve"> </w:t>
      </w:r>
      <w:r>
        <w:t xml:space="preserve">ist nicht automatisch eine kleine messbare Sektorwahrscheinlichkeit. Dieselbe Unterscheidung gilt für jedes zusätzliche spektrale Straf- oder Projektormodell.</w:t>
      </w:r>
    </w:p>
    <w:bookmarkEnd w:id="27"/>
    <w:bookmarkStart w:id="28" w:name="relationale-und-spektrale-observablen"/>
    <w:p>
      <w:pPr>
        <w:pStyle w:val="Heading1"/>
        <w:pageBreakBefore/>
        <w:widowControl/>
      </w:pPr>
      <w:r>
        <w:rPr>
          <w:color w:val="000000"/>
        </w:rPr>
        <w:t xml:space="preserve">8 Relationale und spektrale Observablen</w:t>
      </w:r>
    </w:p>
    <w:p>
      <w:pPr>
        <w:pStyle w:val="FirstParagraph"/>
        <w:widowControl/>
      </w:pPr>
      <w:r>
        <w:t xml:space="preserve">Das erste Observablenregister enthält</w:t>
      </w:r>
      <w:r>
        <w:t xml:space="preserve"> </w:t>
      </w:r>
      <m:oMath>
        <m:r>
          <m:t>N</m:t>
        </m:r>
      </m:oMath>
      <w:r>
        <w:t xml:space="preserve">, die Anzahl vergleichbarer Paare</w:t>
      </w:r>
      <w:r>
        <w:t xml:space="preserve"> </w:t>
      </w:r>
      <m:oMath>
        <m:r>
          <m:t>R</m:t>
        </m:r>
        <m:r>
          <m:rPr>
            <m:sty m:val="p"/>
          </m:rPr>
          <m:t>=</m:t>
        </m:r>
        <m:nary>
          <m:naryPr>
            <m:chr m:val="∑"/>
            <m:limLoc m:val="undOvr"/>
            <m:subHide m:val="off"/>
            <m:supHide m:val="on"/>
          </m:naryPr>
          <m:sub>
            <m:r>
              <m:t>k</m:t>
            </m:r>
          </m:sub>
          <m:sup>
            <m:r>
              <m:t>​</m:t>
            </m:r>
          </m:sup>
          <m:e>
            <m:sSub>
              <m:e>
                <m:r>
                  <m:t>N</m:t>
                </m:r>
              </m:e>
              <m:sub>
                <m:r>
                  <m:t>k</m:t>
                </m:r>
              </m:sub>
            </m:sSub>
          </m:e>
        </m:nary>
      </m:oMath>
      <w:r>
        <w:t xml:space="preserve">, Höhe, Breite, minimale und maximale Elemente, Postzahl und induzierte Teilordnungsstatistiken. Für</w:t>
      </w:r>
      <w:r>
        <w:t xml:space="preserve"> </w:t>
      </w:r>
      <m:oMath>
        <m:r>
          <m:t>N</m:t>
        </m:r>
        <m:r>
          <m:rPr>
            <m:sty m:val="p"/>
          </m:rPr>
          <m:t>≥</m:t>
        </m:r>
        <m:r>
          <m:t>2</m:t>
        </m:r>
      </m:oMath>
      <w:r>
        <w:t xml:space="preserve"> </w:t>
      </w:r>
      <w:r>
        <w:t xml:space="preserve">ist</w:t>
      </w:r>
      <w:r>
        <w:t xml:space="preserve"> </w:t>
      </w:r>
      <m:oMath>
        <m:sSub>
          <m:e>
            <m:r>
              <m:t>c</m:t>
            </m:r>
          </m:e>
          <m:sub>
            <m:r>
              <m:t>N</m:t>
            </m:r>
          </m:sub>
        </m:sSub>
        <m:r>
          <m:rPr>
            <m:sty m:val="p"/>
          </m:rPr>
          <m:t>=</m:t>
        </m:r>
        <m:r>
          <m:t>2</m:t>
        </m:r>
        <m:r>
          <m:t>R</m:t>
        </m:r>
        <m:r>
          <m:rPr>
            <m:sty m:val="p"/>
          </m:rPr>
          <m:t>/</m:t>
        </m:r>
        <m:d>
          <m:dPr>
            <m:begChr m:val="["/>
            <m:endChr m:val="]"/>
            <m:sepChr m:val=""/>
            <m:grow/>
          </m:dPr>
          <m:e>
            <m:r>
              <m:t>N</m:t>
            </m:r>
            <m:d>
              <m:dPr>
                <m:begChr m:val="("/>
                <m:endChr m:val=")"/>
                <m:sepChr m:val=""/>
                <m:grow/>
              </m:dPr>
              <m:e>
                <m:r>
                  <m:t>N</m:t>
                </m:r>
                <m:r>
                  <m:rPr>
                    <m:sty m:val="p"/>
                  </m:rPr>
                  <m:t>−</m:t>
                </m:r>
                <m:r>
                  <m:t>1</m:t>
                </m:r>
              </m:e>
            </m:d>
          </m:e>
        </m:d>
      </m:oMath>
      <w:r>
        <w:t xml:space="preserve"> </w:t>
      </w:r>
      <w:r>
        <w:t xml:space="preserve">eine dimensionslose Ordnungsdichte. Für</w:t>
      </w:r>
      <w:r>
        <w:t xml:space="preserve"> </w:t>
      </w:r>
      <m:oMath>
        <m:r>
          <m:t>N</m:t>
        </m:r>
        <m:r>
          <m:rPr>
            <m:sty m:val="p"/>
          </m:rPr>
          <m:t>=</m:t>
        </m:r>
        <m:r>
          <m:t>1</m:t>
        </m:r>
      </m:oMath>
      <w:r>
        <w:t xml:space="preserve"> </w:t>
      </w:r>
      <w:r>
        <w:t xml:space="preserve">wird sie als nicht definiert markiert.</w:t>
      </w:r>
    </w:p>
    <w:p>
      <w:pPr>
        <w:pStyle w:val="BodyText"/>
        <w:widowControl/>
      </w:pPr>
      <w:r>
        <w:t xml:space="preserve">Die längste Kette eines Intervalls ist zusätzlich ein Eigenzeitkandidat. Ein Schätzer</w:t>
      </w:r>
      <w:r>
        <w:t xml:space="preserve"> </w:t>
      </w:r>
      <m:oMath>
        <m:sSub>
          <m:e>
            <m:acc>
              <m:accPr>
                <m:chr m:val="̂"/>
              </m:accPr>
              <m:e>
                <m:r>
                  <m:t>τ</m:t>
                </m:r>
              </m:e>
            </m:acc>
          </m:e>
          <m:sub>
            <m:r>
              <m:t>d</m:t>
            </m:r>
          </m:sub>
        </m:sSub>
        <m:r>
          <m:rPr>
            <m:sty m:val="p"/>
          </m:rPr>
          <m:t>=</m:t>
        </m:r>
        <m:sSub>
          <m:e>
            <m:r>
              <m:t>a</m:t>
            </m:r>
          </m:e>
          <m:sub>
            <m:r>
              <m:t>d</m:t>
            </m:r>
          </m:sub>
        </m:sSub>
        <m:r>
          <m:rPr>
            <m:sty m:val="p"/>
          </m:rPr>
          <m:t>ℓ</m:t>
        </m:r>
        <m:r>
          <m:t>L</m:t>
        </m:r>
      </m:oMath>
      <w:r>
        <w:t xml:space="preserve"> </w:t>
      </w:r>
      <w:r>
        <w:t xml:space="preserve">benötigt eine festgelegte Endpunktzählung und eine separat kalibrierte Konstante</w:t>
      </w:r>
      <w:r>
        <w:t xml:space="preserve"> </w:t>
      </w:r>
      <m:oMath>
        <m:sSub>
          <m:e>
            <m:r>
              <m:t>a</m:t>
            </m:r>
          </m:e>
          <m:sub>
            <m:r>
              <m:t>d</m:t>
            </m:r>
          </m:sub>
        </m:sSub>
      </m:oMath>
      <w:r>
        <w:t xml:space="preserve">. Seine Vorhersage wird an neuen Referenzen geprüft; auf einer beliebigen Ordnung wird Kettenlänge dadurch nicht automatisch zur physikalischen Eigenzeit.</w:t>
      </w:r>
    </w:p>
    <w:p>
      <w:pPr>
        <w:pStyle w:val="BodyText"/>
        <w:widowControl/>
      </w:pPr>
      <w:r>
        <w:t xml:space="preserve">Sei</w:t>
      </w:r>
      <w:r>
        <w:t xml:space="preserve"> </w:t>
      </w:r>
      <m:oMath>
        <m:sSub>
          <m:e>
            <m:r>
              <m:t>C</m:t>
            </m:r>
          </m:e>
          <m:sub>
            <m:r>
              <m:t>i</m:t>
            </m:r>
            <m:r>
              <m:t>j</m:t>
            </m:r>
          </m:sub>
        </m:sSub>
        <m:r>
          <m:rPr>
            <m:sty m:val="p"/>
          </m:rPr>
          <m:t>=</m:t>
        </m:r>
        <m:sSub>
          <m:e>
            <m:r>
              <m:rPr>
                <m:sty m:val="b"/>
              </m:rPr>
              <m:t>1</m:t>
            </m:r>
          </m:e>
          <m:sub>
            <m:r>
              <m:t>i</m:t>
            </m:r>
            <m:r>
              <m:rPr>
                <m:sty m:val="p"/>
              </m:rPr>
              <m:t>≺</m:t>
            </m:r>
            <m:r>
              <m:t>j</m:t>
            </m:r>
          </m:sub>
        </m:sSub>
      </m:oMath>
      <w:r>
        <w:t xml:space="preserve">. Unter einer topologischen Beschriftung ist</w:t>
      </w:r>
      <w:r>
        <w:t xml:space="preserve"> </w:t>
      </w:r>
      <m:oMath>
        <m:r>
          <m:t>C</m:t>
        </m:r>
      </m:oMath>
      <w:r>
        <w:t xml:space="preserve"> </w:t>
      </w:r>
      <w:r>
        <w:t xml:space="preserve">strikt obere Dreiecksmatrix. Daher</w:t>
      </w:r>
    </w:p>
    <w:p>
      <w:pPr>
        <w:pStyle w:val="BodyText"/>
        <w:keepLines/>
        <w:widowControl/>
        <w:spacing w:before="60" w:after="160"/>
      </w:pPr>
      <m:oMathPara>
        <m:oMathParaPr>
          <m:jc m:val="center"/>
        </m:oMathParaPr>
        <m:oMath>
          <m:sSup>
            <m:e>
              <m:r>
                <m:t>C</m:t>
              </m:r>
            </m:e>
            <m:sup>
              <m:r>
                <m:t>N</m:t>
              </m:r>
            </m:sup>
          </m:sSup>
          <m:r>
            <m:rPr>
              <m:sty m:val="p"/>
            </m:rPr>
            <m:t>=</m:t>
          </m:r>
          <m:r>
            <m:t>0</m:t>
          </m:r>
          <m:r>
            <m:rPr>
              <m:sty m:val="p"/>
            </m:rPr>
            <m:t>,</m:t>
          </m:r>
          <m:r>
            <m:t>  </m:t>
          </m:r>
          <m:r>
            <m:rPr>
              <m:sty m:val="p"/>
            </m:rPr>
            <m:t>spec</m:t>
          </m:r>
          <m:d>
            <m:dPr>
              <m:begChr m:val="("/>
              <m:endChr m:val=")"/>
              <m:sepChr m:val=""/>
              <m:grow/>
            </m:dPr>
            <m:e>
              <m:r>
                <m:t>C</m:t>
              </m:r>
            </m:e>
          </m:d>
          <m:r>
            <m:rPr>
              <m:sty m:val="p"/>
            </m:rPr>
            <m:t>=</m:t>
          </m:r>
          <m:r>
            <m:rPr>
              <m:sty m:val="p"/>
            </m:rPr>
            <m:t>{</m:t>
          </m:r>
          <m:r>
            <m:t>0</m:t>
          </m:r>
          <m:r>
            <m:rPr>
              <m:sty m:val="p"/>
            </m:rPr>
            <m:t>,</m:t>
          </m:r>
          <m:r>
            <m:rPr>
              <m:sty m:val="p"/>
            </m:rPr>
            <m:t>…</m:t>
          </m:r>
          <m:r>
            <m:rPr>
              <m:sty m:val="p"/>
            </m:rPr>
            <m:t>,</m:t>
          </m:r>
          <m:r>
            <m:t>0</m:t>
          </m:r>
          <m:r>
            <m:rPr>
              <m:sty m:val="p"/>
            </m:rPr>
            <m:t>}</m:t>
          </m:r>
          <m:r>
            <m:rPr>
              <m:sty m:val="p"/>
            </m:rPr>
            <m:t>.</m:t>
          </m:r>
        </m:oMath>
      </m:oMathPara>
    </w:p>
    <w:p>
      <w:pPr>
        <w:pStyle w:val="FirstParagraph"/>
        <w:widowControl/>
      </w:pPr>
      <w:r>
        <w:t xml:space="preserve">Dies gilt für jede endliche Ordnung. Auch der lokale retardierte Operator aus Abschnitt 3 besitzt bei konstanter Diagonale ausschliesslich diesen einen Diagonalwert als Eigenwert. Seine nichttriviale Struktur liegt in den Matrixelementen und nichtnormalen Eigenschaften, nicht in einer generischen Streuung seiner Eigenwerte.</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4082"/>
        <w:gridCol w:w="3572"/>
      </w:tblGrid>
      <w:tr>
        <w:trPr>
          <w:tblHeader w:val="true"/>
          <w:cantSplit/>
        </w:trPr>
        <w:tc>
          <w:tcPr>
            <w:tcW w:type="dxa" w:w="1984"/>
            <w:vAlign w:val="center"/>
            <w:tcMar>
              <w:top w:w="80" w:type="dxa"/>
              <w:bottom w:w="80" w:type="dxa"/>
              <w:left w:w="90" w:type="dxa"/>
              <w:right w:w="90" w:type="dxa"/>
            </w:tcMar>
            <w:shd w:fill="E7EDF3"/>
          </w:tcPr>
          <w:p>
            <w:pPr>
              <w:spacing w:after="20" w:before="20" w:line="240" w:lineRule="auto"/>
              <w:jc w:val="left"/>
            </w:pPr>
            <w:r>
              <w:rPr>
                <w:b/>
                <w:sz w:val="19"/>
              </w:rPr>
              <w:t xml:space="preserve">Analyseoperator</w:t>
            </w:r>
          </w:p>
        </w:tc>
        <w:tc>
          <w:tcPr>
            <w:tcW w:type="dxa" w:w="4082"/>
            <w:vAlign w:val="center"/>
            <w:tcMar>
              <w:top w:w="80" w:type="dxa"/>
              <w:bottom w:w="80" w:type="dxa"/>
              <w:left w:w="90" w:type="dxa"/>
              <w:right w:w="90" w:type="dxa"/>
            </w:tcMar>
            <w:shd w:fill="E7EDF3"/>
          </w:tcPr>
          <w:p>
            <w:pPr>
              <w:spacing w:after="20" w:before="20" w:line="240" w:lineRule="auto"/>
              <w:jc w:val="left"/>
            </w:pPr>
            <w:r>
              <w:rPr>
                <w:b/>
                <w:sz w:val="19"/>
              </w:rPr>
              <w:t xml:space="preserve">Mögliche Information</w:t>
            </w:r>
          </w:p>
        </w:tc>
        <w:tc>
          <w:tcPr>
            <w:tcW w:type="dxa" w:w="3572"/>
            <w:vAlign w:val="center"/>
            <w:tcMar>
              <w:top w:w="80" w:type="dxa"/>
              <w:bottom w:w="80" w:type="dxa"/>
              <w:left w:w="90" w:type="dxa"/>
              <w:right w:w="90" w:type="dxa"/>
            </w:tcMar>
            <w:shd w:fill="E7EDF3"/>
          </w:tcPr>
          <w:p>
            <w:pPr>
              <w:spacing w:after="20" w:before="20" w:line="240" w:lineRule="auto"/>
              <w:jc w:val="left"/>
            </w:pPr>
            <w:r>
              <w:rPr>
                <w:b/>
                <w:sz w:val="19"/>
              </w:rPr>
              <w:t xml:space="preserve">Verbindliche Grenze</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m:oMath>
              <m:sSup>
                <m:e>
                  <m:r>
                    <m:t>C</m:t>
                  </m:r>
                </m:e>
                <m:sup>
                  <m:r>
                    <m:t>T</m:t>
                  </m:r>
                </m:sup>
              </m:sSup>
              <m:r>
                <m:t>C</m:t>
              </m:r>
            </m:oMath>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Singulärwerte und relationale Muster</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Kein vollständiges Ordnungsinvariant</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m:oMath>
              <m:r>
                <m:t>A</m:t>
              </m:r>
              <m:r>
                <m:rPr>
                  <m:sty m:val="p"/>
                </m:rPr>
                <m:t>=</m:t>
              </m:r>
              <m:r>
                <m:t>C</m:t>
              </m:r>
              <m:r>
                <m:rPr>
                  <m:sty m:val="p"/>
                </m:rPr>
                <m:t>+</m:t>
              </m:r>
              <m:sSup>
                <m:e>
                  <m:r>
                    <m:t>C</m:t>
                  </m:r>
                </m:e>
                <m:sup>
                  <m:r>
                    <m:t>T</m:t>
                  </m:r>
                </m:sup>
              </m:sSup>
            </m:oMath>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Spektrum des Vergleichbarkeitsgraphen</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Zeitrichtung wird teilweise verworfen</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m:oMath>
              <m:r>
                <m:t>L</m:t>
              </m:r>
              <m:r>
                <m:rPr>
                  <m:sty m:val="p"/>
                </m:rPr>
                <m:t>=</m:t>
              </m:r>
              <m:r>
                <m:rPr>
                  <m:sty m:val="p"/>
                </m:rPr>
                <m:t>diag</m:t>
              </m:r>
              <m:d>
                <m:dPr>
                  <m:begChr m:val="("/>
                  <m:endChr m:val=")"/>
                  <m:sepChr m:val=""/>
                  <m:grow/>
                </m:dPr>
                <m:e>
                  <m:r>
                    <m:t>A</m:t>
                  </m:r>
                  <m:r>
                    <m:rPr>
                      <m:sty m:val="b"/>
                    </m:rPr>
                    <m:t>1</m:t>
                  </m:r>
                </m:e>
              </m:d>
              <m:r>
                <m:rPr>
                  <m:sty m:val="p"/>
                </m:rPr>
                <m:t>−</m:t>
              </m:r>
              <m:r>
                <m:t>A</m:t>
              </m:r>
            </m:oMath>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Positive Graph-Diffusion</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Kein lorentzischer d’Alembertian</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m:oMath>
              <m:r>
                <m:t>i</m:t>
              </m:r>
              <m:r>
                <m:t>Δ</m:t>
              </m:r>
            </m:oMath>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Spektrum eines begründeten Feldkommutators</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Benötigt Propagator und Zustandsvertrag</w:t>
            </w:r>
          </w:p>
        </w:tc>
      </w:tr>
    </w:tbl>
    <w:p>
      <w:pPr>
        <w:pStyle w:val="BodyText"/>
        <w:widowControl/>
      </w:pPr>
      <w:r>
        <w:t xml:space="preserve">Eine Pflichtgegenkontrolle ist die V-Ordnung</w:t>
      </w:r>
      <w:r>
        <w:t xml:space="preserve"> </w:t>
      </w:r>
      <m:oMath>
        <m:r>
          <m:t>a</m:t>
        </m:r>
        <m:r>
          <m:rPr>
            <m:sty m:val="p"/>
          </m:rPr>
          <m:t>≺</m:t>
        </m:r>
        <m:r>
          <m:t>b</m:t>
        </m:r>
        <m:r>
          <m:rPr>
            <m:sty m:val="p"/>
          </m:rPr>
          <m:t>,</m:t>
        </m:r>
        <m:r>
          <m:t>a</m:t>
        </m:r>
        <m:r>
          <m:rPr>
            <m:sty m:val="p"/>
          </m:rPr>
          <m:t>≺</m:t>
        </m:r>
        <m:r>
          <m:t>c</m:t>
        </m:r>
      </m:oMath>
      <w:r>
        <w:t xml:space="preserve"> </w:t>
      </w:r>
      <w:r>
        <w:t xml:space="preserve">gegenüber ihrer Umkehrung. Die erste hat ein minimales, die zweite zwei minimale Elemente; sie sind als orientierte Ordnungen nicht isomorph. Beide haben für</w:t>
      </w:r>
      <w:r>
        <w:t xml:space="preserve"> </w:t>
      </w:r>
      <m:oMath>
        <m:r>
          <m:t>A</m:t>
        </m:r>
      </m:oMath>
      <w:r>
        <w:t xml:space="preserve"> </w:t>
      </w:r>
      <w:r>
        <w:t xml:space="preserve">die Eigenwerte</w:t>
      </w:r>
      <w:r>
        <w:t xml:space="preserve"> </w:t>
      </w:r>
      <m:oMath>
        <m:r>
          <m:rPr>
            <m:sty m:val="p"/>
          </m:rPr>
          <m:t>−</m:t>
        </m:r>
        <m:rad>
          <m:radPr>
            <m:degHide m:val="on"/>
          </m:radPr>
          <m:deg/>
          <m:e>
            <m:r>
              <m:t>2</m:t>
            </m:r>
          </m:e>
        </m:rad>
        <m:r>
          <m:rPr>
            <m:sty m:val="p"/>
          </m:rPr>
          <m:t>,</m:t>
        </m:r>
        <m:r>
          <m:t>0</m:t>
        </m:r>
        <m:r>
          <m:rPr>
            <m:sty m:val="p"/>
          </m:rPr>
          <m:t>,</m:t>
        </m:r>
        <m:rad>
          <m:radPr>
            <m:degHide m:val="on"/>
          </m:radPr>
          <m:deg/>
          <m:e>
            <m:r>
              <m:t>2</m:t>
            </m:r>
          </m:e>
        </m:rad>
      </m:oMath>
      <w:r>
        <w:t xml:space="preserve">, für</w:t>
      </w:r>
      <w:r>
        <w:t xml:space="preserve"> </w:t>
      </w:r>
      <m:oMath>
        <m:r>
          <m:t>L</m:t>
        </m:r>
      </m:oMath>
      <w:r>
        <w:t xml:space="preserve"> </w:t>
      </w:r>
      <w:r>
        <w:t xml:space="preserve">die Werte</w:t>
      </w:r>
      <w:r>
        <w:t xml:space="preserve"> </w:t>
      </w:r>
      <m:oMath>
        <m:r>
          <m:t>0</m:t>
        </m:r>
        <m:r>
          <m:rPr>
            <m:sty m:val="p"/>
          </m:rPr>
          <m:t>,</m:t>
        </m:r>
        <m:r>
          <m:t>1</m:t>
        </m:r>
        <m:r>
          <m:rPr>
            <m:sty m:val="p"/>
          </m:rPr>
          <m:t>,</m:t>
        </m:r>
        <m:r>
          <m:t>3</m:t>
        </m:r>
      </m:oMath>
      <w:r>
        <w:t xml:space="preserve"> </w:t>
      </w:r>
      <w:r>
        <w:t xml:space="preserve">und für</w:t>
      </w:r>
      <w:r>
        <w:t xml:space="preserve"> </w:t>
      </w:r>
      <m:oMath>
        <m:r>
          <m:t>C</m:t>
        </m:r>
      </m:oMath>
      <w:r>
        <w:t xml:space="preserve"> </w:t>
      </w:r>
      <w:r>
        <w:t xml:space="preserve">die Singulärwerte</w:t>
      </w:r>
      <w:r>
        <w:t xml:space="preserve"> </w:t>
      </w:r>
      <m:oMath>
        <m:rad>
          <m:radPr>
            <m:degHide m:val="on"/>
          </m:radPr>
          <m:deg/>
          <m:e>
            <m:r>
              <m:t>2</m:t>
            </m:r>
          </m:e>
        </m:rad>
        <m:r>
          <m:rPr>
            <m:sty m:val="p"/>
          </m:rPr>
          <m:t>,</m:t>
        </m:r>
        <m:r>
          <m:t>0</m:t>
        </m:r>
        <m:r>
          <m:rPr>
            <m:sty m:val="p"/>
          </m:rPr>
          <m:t>,</m:t>
        </m:r>
        <m:r>
          <m:t>0</m:t>
        </m:r>
      </m:oMath>
      <w:r>
        <w:t xml:space="preserve">. Diese Spektren können die Ordnung nicht rekonstruieren.</w:t>
      </w:r>
    </w:p>
    <w:p>
      <w:pPr>
        <w:pStyle w:val="BodyText"/>
        <w:widowControl/>
      </w:pPr>
      <w:r>
        <w:t xml:space="preserve">Ein positiver Hilfsoperator</w:t>
      </w:r>
      <w:r>
        <w:t xml:space="preserve"> </w:t>
      </w:r>
      <m:oMath>
        <m:r>
          <m:t>L</m:t>
        </m:r>
      </m:oMath>
      <w:r>
        <w:t xml:space="preserve"> </w:t>
      </w:r>
      <w:r>
        <w:t xml:space="preserve">erlaubt die diagnostische Grösse</w:t>
      </w:r>
      <w:r>
        <w:t xml:space="preserve"> </w:t>
      </w:r>
      <m:oMath>
        <m:r>
          <m:t>P</m:t>
        </m:r>
        <m:d>
          <m:dPr>
            <m:begChr m:val="("/>
            <m:endChr m:val=")"/>
            <m:sepChr m:val=""/>
            <m:grow/>
          </m:dPr>
          <m:e>
            <m:r>
              <m:t>t</m:t>
            </m:r>
          </m:e>
        </m:d>
        <m:r>
          <m:rPr>
            <m:sty m:val="p"/>
          </m:rPr>
          <m:t>=</m:t>
        </m:r>
        <m:sSup>
          <m:e>
            <m:r>
              <m:t>N</m:t>
            </m:r>
          </m:e>
          <m:sup>
            <m:r>
              <m:rPr>
                <m:sty m:val="p"/>
              </m:rPr>
              <m:t>−</m:t>
            </m:r>
            <m:r>
              <m:t>1</m:t>
            </m:r>
          </m:sup>
        </m:sSup>
        <m:r>
          <m:rPr>
            <m:sty m:val="p"/>
          </m:rPr>
          <m:t>Tr</m:t>
        </m:r>
        <m:sSup>
          <m:e>
            <m:r>
              <m:t>e</m:t>
            </m:r>
          </m:e>
          <m:sup>
            <m:r>
              <m:rPr>
                <m:sty m:val="p"/>
              </m:rPr>
              <m:t>−</m:t>
            </m:r>
            <m:r>
              <m:t>t</m:t>
            </m:r>
            <m:r>
              <m:t>L</m:t>
            </m:r>
          </m:sup>
        </m:sSup>
      </m:oMath>
      <w:r>
        <w:t xml:space="preserve"> </w:t>
      </w:r>
      <w:r>
        <w:t xml:space="preserve">und</w:t>
      </w:r>
      <w:r>
        <w:t xml:space="preserve"> </w:t>
      </w:r>
      <m:oMath>
        <m:sSub>
          <m:e>
            <m:r>
              <m:t>d</m:t>
            </m:r>
          </m:e>
          <m:sub>
            <m:r>
              <m:t>s</m:t>
            </m:r>
          </m:sub>
        </m:sSub>
        <m:d>
          <m:dPr>
            <m:begChr m:val="("/>
            <m:endChr m:val=")"/>
            <m:sepChr m:val=""/>
            <m:grow/>
          </m:dPr>
          <m:e>
            <m:r>
              <m:t>t</m:t>
            </m:r>
          </m:e>
        </m:d>
        <m:r>
          <m:rPr>
            <m:sty m:val="p"/>
          </m:rPr>
          <m:t>=</m:t>
        </m:r>
        <m:r>
          <m:rPr>
            <m:sty m:val="p"/>
          </m:rPr>
          <m:t>−</m:t>
        </m:r>
        <m:r>
          <m:t>2</m:t>
        </m:r>
        <m:r>
          <m:t> </m:t>
        </m:r>
        <m:r>
          <m:t>d</m:t>
        </m:r>
        <m:r>
          <m:rPr>
            <m:sty m:val="p"/>
          </m:rPr>
          <m:t>log</m:t>
        </m:r>
        <m:r>
          <m:t>P</m:t>
        </m:r>
        <m:r>
          <m:rPr>
            <m:sty m:val="p"/>
          </m:rPr>
          <m:t>/</m:t>
        </m:r>
        <m:r>
          <m:t>d</m:t>
        </m:r>
        <m:r>
          <m:rPr>
            <m:sty m:val="p"/>
          </m:rPr>
          <m:t>log</m:t>
        </m:r>
        <m:r>
          <m:t>t</m:t>
        </m:r>
      </m:oMath>
      <w:r>
        <w:t xml:space="preserve">. Sie gilt nur für diesen Operator, seine Normierung und das geprüfte Skalenfenster. In einem endlichen Graphen entstehen Randregime ohne Kontinuumsinterpretation. Insbesondere ist</w:t>
      </w:r>
      <w:r>
        <w:t xml:space="preserve"> </w:t>
      </w:r>
      <m:oMath>
        <m:sSub>
          <m:e>
            <m:r>
              <m:t>d</m:t>
            </m:r>
          </m:e>
          <m:sub>
            <m:r>
              <m:t>s</m:t>
            </m:r>
          </m:sub>
        </m:sSub>
        <m:r>
          <m:rPr>
            <m:sty m:val="p"/>
          </m:rPr>
          <m:t>≈</m:t>
        </m:r>
        <m:r>
          <m:t>4</m:t>
        </m:r>
      </m:oMath>
      <w:r>
        <w:t xml:space="preserve"> </w:t>
      </w:r>
      <w:r>
        <w:t xml:space="preserve">kein alleiniger Nachweis einer vierdimensionalen lorentzischen Raumzeit.</w:t>
      </w:r>
    </w:p>
    <w:p>
      <w:pPr>
        <w:pStyle w:val="BodyText"/>
        <w:widowControl/>
      </w:pPr>
      <w:r>
        <w:t xml:space="preserve">Eigenräume werden bei Entartung über Projektoren verglichen. Eigenvektoren benötigen Ausrichtung; Vorzeichen, Phase oder willkürliche Basen innerhalb eines entarteten Unterraums sind keine physikalischen Unterschiede.</w:t>
      </w:r>
    </w:p>
    <w:bookmarkEnd w:id="28"/>
    <w:bookmarkStart w:id="29" w:name="vergröberung-und-wirksame-dynamik"/>
    <w:p>
      <w:pPr>
        <w:pStyle w:val="Heading1"/>
        <w:pageBreakBefore/>
        <w:widowControl/>
      </w:pPr>
      <w:r>
        <w:rPr>
          <w:color w:val="000000"/>
        </w:rPr>
        <w:t xml:space="preserve">9 Vergröberung und wirksame Dynamik</w:t>
      </w:r>
    </w:p>
    <w:p>
      <w:pPr>
        <w:pStyle w:val="FirstParagraph"/>
        <w:widowControl/>
      </w:pPr>
      <w:r>
        <w:t xml:space="preserve">Die erste klassische Vergröberung ist Bernoulli-Ausdünnung: Jedes Element bleibt unabhängig mit Wahrscheinlichkeit</w:t>
      </w:r>
      <w:r>
        <w:t xml:space="preserve"> </w:t>
      </w:r>
      <m:oMath>
        <m:r>
          <m:t>p</m:t>
        </m:r>
      </m:oMath>
      <w:r>
        <w:t xml:space="preserve"> </w:t>
      </w:r>
      <w:r>
        <w:t xml:space="preserve">erhalten. Auf der erhaltenen Teilmenge wird die</w:t>
      </w:r>
      <w:r>
        <w:t xml:space="preserve"> </w:t>
      </w:r>
      <w:r>
        <w:rPr>
          <w:bCs/>
          <w:b/>
        </w:rPr>
        <w:t xml:space="preserve">ursprüngliche volle Ordnung eingeschränkt</w:t>
      </w:r>
      <w:r>
        <w:t xml:space="preserve">. Das blosse Löschen von Links kann kausale Beziehungen verlieren, die durch entfernte Zwischenpunkte vermittelt waren.</w:t>
      </w:r>
    </w:p>
    <w:p>
      <w:pPr>
        <w:pStyle w:val="BodyText"/>
        <w:widowControl/>
      </w:pPr>
      <w:r>
        <w:t xml:space="preserve">Für den dadurch definierten Markov-Kern</w:t>
      </w:r>
      <w:r>
        <w:t xml:space="preserve"> </w:t>
      </w:r>
      <m:oMath>
        <m:sSub>
          <m:e>
            <m:r>
              <m:t>K</m:t>
            </m:r>
          </m:e>
          <m:sub>
            <m:r>
              <m:t>p</m:t>
            </m:r>
          </m:sub>
        </m:sSub>
      </m:oMath>
      <w:r>
        <w:t xml:space="preserve"> </w:t>
      </w:r>
      <w:r>
        <w:t xml:space="preserve">gilt exakt in Verteilung</w:t>
      </w:r>
    </w:p>
    <w:p>
      <w:pPr>
        <w:pStyle w:val="BodyText"/>
        <w:keepLines/>
        <w:widowControl/>
        <w:spacing w:before="60" w:after="160"/>
      </w:pPr>
      <m:oMathPara>
        <m:oMathParaPr>
          <m:jc m:val="center"/>
        </m:oMathParaPr>
        <m:oMath>
          <m:sSub>
            <m:e>
              <m:r>
                <m:t>K</m:t>
              </m:r>
            </m:e>
            <m:sub>
              <m:r>
                <m:t>q</m:t>
              </m:r>
            </m:sub>
          </m:sSub>
          <m:sSub>
            <m:e>
              <m:r>
                <m:t>K</m:t>
              </m:r>
            </m:e>
            <m:sub>
              <m:r>
                <m:t>p</m:t>
              </m:r>
            </m:sub>
          </m:sSub>
          <m:r>
            <m:rPr>
              <m:sty m:val="p"/>
            </m:rPr>
            <m:t>=</m:t>
          </m:r>
          <m:sSub>
            <m:e>
              <m:r>
                <m:t>K</m:t>
              </m:r>
            </m:e>
            <m:sub>
              <m:r>
                <m:t>p</m:t>
              </m:r>
              <m:r>
                <m:t>q</m:t>
              </m:r>
            </m:sub>
          </m:sSub>
          <m:r>
            <m:rPr>
              <m:sty m:val="p"/>
            </m:rPr>
            <m:t>.</m:t>
          </m:r>
        </m:oMath>
      </m:oMathPara>
    </w:p>
    <w:p>
      <w:pPr>
        <w:pStyle w:val="FirstParagraph"/>
        <w:widowControl/>
      </w:pPr>
      <w:r>
        <w:t xml:space="preserve">Jedes ursprüngliche Element überlebt beide Schritte mit Wahrscheinlichkeit</w:t>
      </w:r>
      <w:r>
        <w:t xml:space="preserve"> </w:t>
      </w:r>
      <m:oMath>
        <m:r>
          <m:t>p</m:t>
        </m:r>
        <m:r>
          <m:t>q</m:t>
        </m:r>
      </m:oMath>
      <w:r>
        <w:t xml:space="preserve">, unabhängig von den anderen. Bei Poisson-Kontrollen sinkt die Dichte auf</w:t>
      </w:r>
      <w:r>
        <w:t xml:space="preserve"> </w:t>
      </w:r>
      <m:oMath>
        <m:r>
          <m:t>p</m:t>
        </m:r>
        <m:r>
          <m:t>ρ</m:t>
        </m:r>
      </m:oMath>
      <w:r>
        <w:t xml:space="preserve">. Dieselbe physische Region bleibt erhalten; das physische Volumengewicht je Punkt muss entsprechend angepasst werden.</w:t>
      </w:r>
    </w:p>
    <w:p>
      <w:pPr>
        <w:pStyle w:val="BodyText"/>
        <w:widowControl/>
      </w:pPr>
      <w:r>
        <w:t xml:space="preserve">Diese klassische Identität definiert noch kein quantales Vergröberungsverfahren. Ein stochastischer Kern auf Einzelhistorien bestimmt insbesondere nicht die Interferenz zwischen zwei verschiedenen Historien. Dafür braucht es ein zusätzliches Instrument oder eine begründete Umgebungskonstruktion.</w:t>
      </w:r>
    </w:p>
    <w:p>
      <w:pPr>
        <w:pStyle w:val="BodyText"/>
        <w:widowControl/>
      </w:pPr>
      <w:r>
        <w:t xml:space="preserve">Für eine deterministische Ereignisabbildung</w:t>
      </w:r>
      <w:r>
        <w:t xml:space="preserve"> </w:t>
      </w:r>
      <m:oMath>
        <m:r>
          <m:t>T</m:t>
        </m:r>
        <m:r>
          <m:rPr>
            <m:sty m:val="p"/>
          </m:rPr>
          <m:t>:</m:t>
        </m:r>
        <m:r>
          <m:t>Ω</m:t>
        </m:r>
        <m:r>
          <m:rPr>
            <m:sty m:val="p"/>
          </m:rPr>
          <m:t>→</m:t>
        </m:r>
        <m:r>
          <m:t>Ω</m:t>
        </m:r>
        <m:r>
          <m:rPr>
            <m:sty m:val="p"/>
          </m:rPr>
          <m:t>′</m:t>
        </m:r>
      </m:oMath>
      <w:r>
        <w:t xml:space="preserve"> </w:t>
      </w:r>
      <w:r>
        <w:t xml:space="preserve">ist dagegen die quantale Bildkonstruktion eindeutig:</w:t>
      </w:r>
    </w:p>
    <w:p>
      <w:pPr>
        <w:pStyle w:val="BodyText"/>
        <w:keepLines/>
        <w:widowControl/>
        <w:spacing w:before="60" w:after="160"/>
      </w:pPr>
      <m:oMathPara>
        <m:oMathParaPr>
          <m:jc m:val="center"/>
        </m:oMathParaPr>
        <m:oMath>
          <m:r>
            <m:rPr>
              <m:sty m:val="p"/>
              <m:scr m:val="script"/>
            </m:rPr>
            <m:t>D</m:t>
          </m:r>
          <m:r>
            <m:rPr>
              <m:sty m:val="p"/>
            </m:rPr>
            <m:t>′</m:t>
          </m:r>
          <m:d>
            <m:dPr>
              <m:begChr m:val="("/>
              <m:endChr m:val=")"/>
              <m:sepChr m:val=""/>
              <m:grow/>
            </m:dPr>
            <m:e>
              <m:r>
                <m:t>A</m:t>
              </m:r>
              <m:r>
                <m:rPr>
                  <m:sty m:val="p"/>
                </m:rPr>
                <m:t>,</m:t>
              </m:r>
              <m:r>
                <m:t>B</m:t>
              </m:r>
            </m:e>
          </m:d>
          <m:r>
            <m:rPr>
              <m:sty m:val="p"/>
            </m:rPr>
            <m:t>=</m:t>
          </m:r>
          <m:r>
            <m:rPr>
              <m:sty m:val="p"/>
              <m:scr m:val="script"/>
            </m:rPr>
            <m:t>D</m:t>
          </m:r>
          <m:d>
            <m:dPr>
              <m:begChr m:val="("/>
              <m:endChr m:val=")"/>
              <m:sepChr m:val=""/>
              <m:grow/>
            </m:dPr>
            <m:e>
              <m:sSup>
                <m:e>
                  <m:r>
                    <m:t>T</m:t>
                  </m:r>
                </m:e>
                <m:sup>
                  <m:r>
                    <m:rPr>
                      <m:sty m:val="p"/>
                    </m:rPr>
                    <m:t>−</m:t>
                  </m:r>
                  <m:r>
                    <m:t>1</m:t>
                  </m:r>
                </m:sup>
              </m:sSup>
              <m:r>
                <m:t>A</m:t>
              </m:r>
              <m:r>
                <m:rPr>
                  <m:sty m:val="p"/>
                </m:rPr>
                <m:t>,</m:t>
              </m:r>
              <m:sSup>
                <m:e>
                  <m:r>
                    <m:t>T</m:t>
                  </m:r>
                </m:e>
                <m:sup>
                  <m:r>
                    <m:rPr>
                      <m:sty m:val="p"/>
                    </m:rPr>
                    <m:t>−</m:t>
                  </m:r>
                  <m:r>
                    <m:t>1</m:t>
                  </m:r>
                </m:sup>
              </m:sSup>
              <m:r>
                <m:t>B</m:t>
              </m:r>
            </m:e>
          </m:d>
          <m:r>
            <m:rPr>
              <m:sty m:val="p"/>
            </m:rPr>
            <m:t>.</m:t>
          </m:r>
        </m:oMath>
      </m:oMathPara>
    </w:p>
    <w:p>
      <w:pPr>
        <w:pStyle w:val="FirstParagraph"/>
        <w:widowControl/>
      </w:pPr>
      <w:r>
        <w:t xml:space="preserve">Hermitizität, Biadditivität, Normierung und starke Positivität bleiben erhalten, weil jede Ereignisfamilie auf ihre Urbilder zurückgeführt wird. Auch Komposition ist exakt verträglich. Dieser Satz gilt ohne die Behauptung, dass die grobe Dynamik wieder dieselbe Wirkungsform besitzt.</w:t>
      </w:r>
    </w:p>
    <w:p>
      <w:pPr>
        <w:pStyle w:val="BodyText"/>
        <w:widowControl/>
      </w:pPr>
      <w:r>
        <w:t xml:space="preserve">Auf Amplitudenebene kann man für feste grobe Historie</w:t>
      </w:r>
      <w:r>
        <w:t xml:space="preserve"> </w:t>
      </w:r>
      <m:oMath>
        <m:r>
          <m:t>c</m:t>
        </m:r>
      </m:oMath>
      <w:r>
        <w:t xml:space="preserve"> </w:t>
      </w:r>
      <w:r>
        <w:t xml:space="preserve">definieren</w:t>
      </w:r>
    </w:p>
    <w:p>
      <w:pPr>
        <w:pStyle w:val="BodyText"/>
        <w:keepLines/>
        <w:widowControl/>
        <w:spacing w:before="60" w:after="160"/>
      </w:pPr>
      <m:oMathPara>
        <m:oMathParaPr>
          <m:jc m:val="center"/>
        </m:oMathParaPr>
        <m:oMath>
          <m:sSub>
            <m:e>
              <m:r>
                <m:t>a</m:t>
              </m:r>
            </m:e>
            <m:sub>
              <m:r>
                <m:rPr>
                  <m:sty m:val="p"/>
                </m:rPr>
                <m:t>e</m:t>
              </m:r>
              <m:r>
                <m:rPr>
                  <m:sty m:val="p"/>
                </m:rPr>
                <m:t>f</m:t>
              </m:r>
              <m:r>
                <m:rPr>
                  <m:sty m:val="p"/>
                </m:rPr>
                <m:t>f</m:t>
              </m:r>
            </m:sub>
          </m:sSub>
          <m:d>
            <m:dPr>
              <m:begChr m:val="("/>
              <m:endChr m:val=")"/>
              <m:sepChr m:val=""/>
              <m:grow/>
            </m:dPr>
            <m:e>
              <m:r>
                <m:t>c</m:t>
              </m:r>
            </m:e>
          </m:d>
          <m:r>
            <m:rPr>
              <m:sty m:val="p"/>
            </m:rPr>
            <m:t>=</m:t>
          </m:r>
          <m:nary>
            <m:naryPr>
              <m:chr m:val="∑"/>
              <m:limLoc m:val="undOvr"/>
              <m:subHide m:val="off"/>
              <m:supHide m:val="on"/>
            </m:naryPr>
            <m:sub>
              <m:r>
                <m:t>T</m:t>
              </m:r>
              <m:d>
                <m:dPr>
                  <m:begChr m:val="("/>
                  <m:endChr m:val=")"/>
                  <m:sepChr m:val=""/>
                  <m:grow/>
                </m:dPr>
                <m:e>
                  <m:r>
                    <m:t>C</m:t>
                  </m:r>
                </m:e>
              </m:d>
              <m:r>
                <m:rPr>
                  <m:sty m:val="p"/>
                </m:rPr>
                <m:t>=</m:t>
              </m:r>
              <m:r>
                <m:t>c</m:t>
              </m:r>
            </m:sub>
            <m:sup>
              <m:r>
                <m:t>​</m:t>
              </m:r>
            </m:sup>
            <m:e>
              <m:r>
                <m:t>a</m:t>
              </m:r>
            </m:e>
          </m:nary>
          <m:d>
            <m:dPr>
              <m:begChr m:val="("/>
              <m:endChr m:val=")"/>
              <m:sepChr m:val=""/>
              <m:grow/>
            </m:dPr>
            <m:e>
              <m:r>
                <m:t>C</m:t>
              </m:r>
            </m:e>
          </m:d>
          <m:r>
            <m:rPr>
              <m:sty m:val="p"/>
            </m:rPr>
            <m:t>.</m:t>
          </m:r>
        </m:oMath>
      </m:oMathPara>
    </w:p>
    <w:p>
      <w:pPr>
        <w:pStyle w:val="FirstParagraph"/>
        <w:widowControl/>
      </w:pPr>
      <w:r>
        <w:t xml:space="preserve">Die Darstellung</w:t>
      </w:r>
      <w:r>
        <w:t xml:space="preserve"> </w:t>
      </w:r>
      <m:oMath>
        <m:sSub>
          <m:e>
            <m:r>
              <m:t>a</m:t>
            </m:r>
          </m:e>
          <m:sub>
            <m:r>
              <m:rPr>
                <m:sty m:val="p"/>
              </m:rPr>
              <m:t>e</m:t>
            </m:r>
            <m:r>
              <m:rPr>
                <m:sty m:val="p"/>
              </m:rPr>
              <m:t>f</m:t>
            </m:r>
            <m:r>
              <m:rPr>
                <m:sty m:val="p"/>
              </m:rPr>
              <m:t>f</m:t>
            </m:r>
          </m:sub>
        </m:sSub>
        <m:r>
          <m:rPr>
            <m:sty m:val="p"/>
          </m:rPr>
          <m:t>=</m:t>
        </m:r>
        <m:sSub>
          <m:e>
            <m:r>
              <m:t>w</m:t>
            </m:r>
          </m:e>
          <m:sub>
            <m:r>
              <m:rPr>
                <m:sty m:val="p"/>
              </m:rPr>
              <m:t>e</m:t>
            </m:r>
            <m:r>
              <m:rPr>
                <m:sty m:val="p"/>
              </m:rPr>
              <m:t>f</m:t>
            </m:r>
            <m:r>
              <m:rPr>
                <m:sty m:val="p"/>
              </m:rPr>
              <m:t>f</m:t>
            </m:r>
          </m:sub>
        </m:sSub>
        <m:sSup>
          <m:e>
            <m:r>
              <m:t>e</m:t>
            </m:r>
          </m:e>
          <m:sup>
            <m:r>
              <m:t>i</m:t>
            </m:r>
            <m:sSub>
              <m:e>
                <m:r>
                  <m:t>s</m:t>
                </m:r>
              </m:e>
              <m:sub>
                <m:r>
                  <m:rPr>
                    <m:sty m:val="p"/>
                  </m:rPr>
                  <m:t>e</m:t>
                </m:r>
                <m:r>
                  <m:rPr>
                    <m:sty m:val="p"/>
                  </m:rPr>
                  <m:t>f</m:t>
                </m:r>
                <m:r>
                  <m:rPr>
                    <m:sty m:val="p"/>
                  </m:rPr>
                  <m:t>f</m:t>
                </m:r>
              </m:sub>
            </m:sSub>
          </m:sup>
        </m:sSup>
      </m:oMath>
      <w:r>
        <w:t xml:space="preserve"> </w:t>
      </w:r>
      <w:r>
        <w:t xml:space="preserve">ist bei Nullstellen problematisch und bei nichtverschwindenden Amplituden nicht eindeutig. Effektive Wirkungen können komplexe, nichtlokale und neue Mehrpunktterme enthalten. Ein erneuter Fit nur an den BDG-Kern ist eine Trunkationsannahme und benötigt einen Vorhersagefehler.</w:t>
      </w:r>
    </w:p>
    <w:p>
      <w:pPr>
        <w:pStyle w:val="BodyText"/>
        <w:widowControl/>
      </w:pPr>
      <w:r>
        <w:t xml:space="preserve">Eine Renormierungsstudie ergänzt deshalb die Vergröberung um Kopplungsfluss, Reskalierung, Beobachtungsfenster und Fehlerfortpflanzung. Mindestens zwei methodisch verschiedene zulässige Verfahren müssen auf gemeinsame prädiktive Aussagen geprüft werden. Ein System bis zu einer einzigen Restvariable zu reduzieren ist keine Universalitätsevidenz.</w:t>
      </w:r>
    </w:p>
    <w:p>
      <w:pPr>
        <w:pStyle w:val="BodyText"/>
        <w:widowControl/>
      </w:pPr>
      <w:r>
        <w:t xml:space="preserve">Bei Zustandsalgebren wird eine Reduktion durch einen vollständig positiven spurtreuen Kanal und die entsprechende duale Observablenabbildung modelliert. Beliebiges Mittelwertbilden von Matrizen ersetzt diesen Nachweis nicht.</w:t>
      </w:r>
    </w:p>
    <w:bookmarkEnd w:id="29"/>
    <w:bookmarkStart w:id="30" w:name="destillation-als-vorhersagevertrag"/>
    <w:p>
      <w:pPr>
        <w:pStyle w:val="Heading1"/>
        <w:pageBreakBefore/>
        <w:widowControl/>
      </w:pPr>
      <w:r>
        <w:rPr>
          <w:color w:val="000000"/>
        </w:rPr>
        <w:t xml:space="preserve">10 Destillation als Vorhersagevertrag</w:t>
      </w:r>
    </w:p>
    <w:p>
      <w:pPr>
        <w:pStyle w:val="FirstParagraph"/>
        <w:widowControl/>
      </w:pPr>
      <w:r>
        <w:t xml:space="preserve">Ein RAX-Rückstand ist das Paket aus Observablen, Zuständen, Dynamik, Eingriffen und Messabbildungen. Er muss verworfene mikroskopische Einzelheiten durch eine kleinere, vorhersagefähige Beschreibung ersetzen. Bei einem quantalen Modell werden die verglichenen Ergebnisverteilungen nur aus zulässigen Messinstrumenten oder dekohärenten Ergebnispartitionen gewonnen.</w:t>
      </w:r>
    </w:p>
    <w:p>
      <w:pPr>
        <w:pStyle w:val="BodyText"/>
        <w:widowControl/>
      </w:pPr>
      <w:r>
        <w:t xml:space="preserve">Für einen registrierten Protokollkatalog</w:t>
      </w:r>
      <w:r>
        <w:t xml:space="preserve"> </w:t>
      </w:r>
      <m:oMath>
        <m:r>
          <m:rPr>
            <m:sty m:val="p"/>
            <m:scr m:val="script"/>
          </m:rPr>
          <m:t>P</m:t>
        </m:r>
      </m:oMath>
      <w:r>
        <w:t xml:space="preserve"> </w:t>
      </w:r>
      <w:r>
        <w:t xml:space="preserve">und eine Skala</w:t>
      </w:r>
      <w:r>
        <w:t xml:space="preserve"> </w:t>
      </w:r>
      <m:oMath>
        <m:r>
          <m:t>r</m:t>
        </m:r>
      </m:oMath>
      <w:r>
        <w:t xml:space="preserve"> </w:t>
      </w:r>
      <w:r>
        <w:t xml:space="preserve">lautet das Ziel</w:t>
      </w:r>
    </w:p>
    <w:p>
      <w:pPr>
        <w:pStyle w:val="BodyText"/>
        <w:keepLines/>
        <w:widowControl/>
        <w:spacing w:before="60" w:after="160"/>
      </w:pPr>
      <m:oMathPara>
        <m:oMathParaPr>
          <m:jc m:val="center"/>
        </m:oMathParaPr>
        <m:oMath>
          <m:limLow>
            <m:e>
              <m:r>
                <m:rPr>
                  <m:sty m:val="p"/>
                </m:rPr>
                <m:t>sup</m:t>
              </m:r>
            </m:e>
            <m:lim>
              <m:r>
                <m:t>e</m:t>
              </m:r>
              <m:r>
                <m:rPr>
                  <m:sty m:val="p"/>
                </m:rPr>
                <m:t>∈</m:t>
              </m:r>
              <m:r>
                <m:rPr>
                  <m:sty m:val="p"/>
                  <m:scr m:val="script"/>
                </m:rPr>
                <m:t>P</m:t>
              </m:r>
            </m:lim>
          </m:limLow>
          <m:r>
            <m:rPr>
              <m:sty m:val="p"/>
            </m:rPr>
            <m:t>TV</m:t>
          </m:r>
          <m:d>
            <m:dPr>
              <m:begChr m:val="("/>
              <m:endChr m:val=")"/>
              <m:sepChr m:val=""/>
              <m:grow/>
            </m:dPr>
            <m:e>
              <m:sSub>
                <m:e>
                  <m:r>
                    <m:t>p</m:t>
                  </m:r>
                </m:e>
                <m:sub>
                  <m:r>
                    <m:rPr>
                      <m:sty m:val="p"/>
                    </m:rPr>
                    <m:t>m</m:t>
                  </m:r>
                  <m:r>
                    <m:rPr>
                      <m:sty m:val="p"/>
                    </m:rPr>
                    <m:t>i</m:t>
                  </m:r>
                  <m:r>
                    <m:rPr>
                      <m:sty m:val="p"/>
                    </m:rPr>
                    <m:t>c</m:t>
                  </m:r>
                  <m:r>
                    <m:rPr>
                      <m:sty m:val="p"/>
                    </m:rPr>
                    <m:t>r</m:t>
                  </m:r>
                  <m:r>
                    <m:rPr>
                      <m:sty m:val="p"/>
                    </m:rPr>
                    <m:t>o</m:t>
                  </m:r>
                </m:sub>
              </m:sSub>
              <m:d>
                <m:dPr>
                  <m:begChr m:val="("/>
                  <m:endChr m:val=")"/>
                  <m:sepChr m:val=""/>
                  <m:grow/>
                </m:dPr>
                <m:e>
                  <m:r>
                    <m:rPr>
                      <m:sty m:val="p"/>
                    </m:rPr>
                    <m:t>⋅</m:t>
                  </m:r>
                  <m:r>
                    <m:rPr>
                      <m:sty m:val="p"/>
                    </m:rPr>
                    <m:t>|</m:t>
                  </m:r>
                  <m:r>
                    <m:t>e</m:t>
                  </m:r>
                </m:e>
              </m:d>
              <m:r>
                <m:rPr>
                  <m:sty m:val="p"/>
                </m:rPr>
                <m:t>,</m:t>
              </m:r>
              <m:sSub>
                <m:e>
                  <m:r>
                    <m:t>p</m:t>
                  </m:r>
                </m:e>
                <m:sub>
                  <m:r>
                    <m:rPr>
                      <m:sty m:val="p"/>
                    </m:rPr>
                    <m:t>e</m:t>
                  </m:r>
                  <m:r>
                    <m:rPr>
                      <m:sty m:val="p"/>
                    </m:rPr>
                    <m:t>f</m:t>
                  </m:r>
                  <m:r>
                    <m:rPr>
                      <m:sty m:val="p"/>
                    </m:rPr>
                    <m:t>f</m:t>
                  </m:r>
                </m:sub>
              </m:sSub>
              <m:d>
                <m:dPr>
                  <m:begChr m:val="("/>
                  <m:endChr m:val=")"/>
                  <m:sepChr m:val=""/>
                  <m:grow/>
                </m:dPr>
                <m:e>
                  <m:r>
                    <m:rPr>
                      <m:sty m:val="p"/>
                    </m:rPr>
                    <m:t>⋅</m:t>
                  </m:r>
                  <m:r>
                    <m:rPr>
                      <m:sty m:val="p"/>
                    </m:rPr>
                    <m:t>|</m:t>
                  </m:r>
                  <m:r>
                    <m:t>e</m:t>
                  </m:r>
                </m:e>
              </m:d>
            </m:e>
          </m:d>
          <m:r>
            <m:rPr>
              <m:sty m:val="p"/>
            </m:rPr>
            <m:t>≤</m:t>
          </m:r>
          <m:sSub>
            <m:e>
              <m:r>
                <m:t>δ</m:t>
              </m:r>
            </m:e>
            <m:sub>
              <m:r>
                <m:t>r</m:t>
              </m:r>
            </m:sub>
          </m:sSub>
          <m:r>
            <m:rPr>
              <m:sty m:val="p"/>
            </m:rPr>
            <m:t>.</m:t>
          </m:r>
        </m:oMath>
      </m:oMathPara>
    </w:p>
    <w:p>
      <w:pPr>
        <w:pStyle w:val="FirstParagraph"/>
        <w:widowControl/>
      </w:pPr>
      <w:r>
        <w:t xml:space="preserve">Die totale Variationsdistanz bezieht sich auf gleich bezeichnete Ausgänge. Exakte Gleichheit für alle zugelassenen Protokolle definiert eine operationale Äquivalenzrelation. Nähe innerhalb einer Toleranz ist im Allgemeinen nicht transitiv und wird nicht ohne eigene Clusterregel als Äquivalenz behandelt.</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tblHeader w:val="true"/>
          <w:cantSplit/>
        </w:trPr>
        <w:tc>
          <w:tcPr>
            <w:tcW w:type="dxa" w:w="2381"/>
            <w:vAlign w:val="center"/>
            <w:tcMar>
              <w:top w:w="80" w:type="dxa"/>
              <w:bottom w:w="80" w:type="dxa"/>
              <w:left w:w="90" w:type="dxa"/>
              <w:right w:w="90" w:type="dxa"/>
            </w:tcMar>
            <w:shd w:fill="E7EDF3"/>
          </w:tcPr>
          <w:p>
            <w:pPr>
              <w:spacing w:after="20" w:before="20" w:line="240" w:lineRule="auto"/>
              <w:jc w:val="left"/>
            </w:pPr>
            <w:r>
              <w:rPr>
                <w:b/>
                <w:sz w:val="19"/>
              </w:rPr>
              <w:t xml:space="preserve">Gate</w:t>
            </w:r>
          </w:p>
        </w:tc>
        <w:tc>
          <w:tcPr>
            <w:tcW w:type="dxa" w:w="7257"/>
            <w:vAlign w:val="center"/>
            <w:tcMar>
              <w:top w:w="80" w:type="dxa"/>
              <w:bottom w:w="80" w:type="dxa"/>
              <w:left w:w="90" w:type="dxa"/>
              <w:right w:w="90" w:type="dxa"/>
            </w:tcMar>
            <w:shd w:fill="E7EDF3"/>
          </w:tcPr>
          <w:p>
            <w:pPr>
              <w:spacing w:after="20" w:before="20" w:line="240" w:lineRule="auto"/>
              <w:jc w:val="left"/>
            </w:pPr>
            <w:r>
              <w:rPr>
                <w:b/>
                <w:sz w:val="19"/>
              </w:rPr>
              <w:t xml:space="preserve">Obligatorischer Inhalt</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Nichttrivialität</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Eine konstante Reduktion scheitert an mindestens einer vorab bestimmten Kontrolle</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Vorhersage</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Neue Realisationen und zurückgehaltene Eingriffsprotokolle</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Aufwand</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Festgelegter Code, Speicher- oder Laufzeitmassstab und gleiches Vergleichsbudget</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Skalenstabilität</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Grössenfolge, physische Skalierung und mindestens zwei Vergröberungen</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Negativkontrolle</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Ein relevanter anderer Generator bleibt unterscheidbar</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Mehrschrittprüfung</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Eigene Fehlerkontrolle für mehrere Zeit- oder Protokollschritte</w:t>
            </w:r>
          </w:p>
        </w:tc>
      </w:tr>
    </w:tbl>
    <w:p>
      <w:pPr>
        <w:pStyle w:val="BodyText"/>
        <w:widowControl/>
      </w:pPr>
      <w:r>
        <w:t xml:space="preserve">Die reduzierte Vorhersage darf nur den Rückstand und das zugelassene Protokoll sehen. Verborgene Simulatorkoordinaten, Familienkennungen oder Rohdaten dürfen keine verworfene Information zurückführen. Prüfer dürfen solche Daten für die Gegenkontrolle verwenden.</w:t>
      </w:r>
    </w:p>
    <w:p>
      <w:pPr>
        <w:pStyle w:val="BodyText"/>
        <w:widowControl/>
      </w:pPr>
      <w:r>
        <w:t xml:space="preserve">„Destillation“ bedeutet hier prädiktive Modellreduktion. Sie ist nicht automatisch die quanteninformationstheoretische Destillation von Verschränkung; diese würde eine andere Ressourcen- und Operationsklasse verlangen.</w:t>
      </w:r>
    </w:p>
    <w:p>
      <w:pPr>
        <w:pStyle w:val="BodyText"/>
        <w:widowControl/>
      </w:pPr>
      <w:r>
        <w:t xml:space="preserve">Ein Fixpunkt des Flusses ist ein möglicher Befund. Grenzzyklen, mehrere stabile Beschreibungen, Gedächtniseffekte und fehlende Reduktion bleiben zulässige Ergebnisse. Von einer Universalitätsklasse wird erst gesprochen, wenn unterschiedliche Mikromodelle unter kontrollierter Skalierung dieselben spezifizierten Vorhersagen tragen.</w:t>
      </w:r>
    </w:p>
    <w:p>
      <w:pPr>
        <w:pStyle w:val="BodyText"/>
        <w:widowControl/>
      </w:pPr>
      <w:r>
        <w:t xml:space="preserve">Eine Entdeckungsphase darf Toleranzen und Kandidaten entwickeln. Vor der Bestätigungsphase werden sie eingefroren. Nach Sichtung der Prüfdaten geänderte Regeln beginnen eine neue Kampagne. Die Unterscheidung zwischen fehlender Teststärke und einem positiven Äquivalenznachweis bleibt erhalten.</w:t>
      </w:r>
    </w:p>
    <w:bookmarkEnd w:id="30"/>
    <w:bookmarkStart w:id="31" w:name="geometrische-rekonstruktion"/>
    <w:p>
      <w:pPr>
        <w:pStyle w:val="Heading1"/>
        <w:pageBreakBefore/>
        <w:widowControl/>
      </w:pPr>
      <w:r>
        <w:rPr>
          <w:color w:val="000000"/>
        </w:rPr>
        <w:t xml:space="preserve">11 Geometrische Rekonstruktion</w:t>
      </w:r>
    </w:p>
    <w:p>
      <w:pPr>
        <w:pStyle w:val="FirstParagraph"/>
        <w:widowControl/>
      </w:pPr>
      <w:r>
        <w:t xml:space="preserve">Die Rekonstruktion erhält eine registrierte Klasse</w:t>
      </w:r>
      <w:r>
        <w:t xml:space="preserve"> </w:t>
      </w:r>
      <m:oMath>
        <m:r>
          <m:rPr>
            <m:sty m:val="p"/>
            <m:scr m:val="fraktur"/>
          </m:rPr>
          <m:t>K</m:t>
        </m:r>
      </m:oMath>
      <w:r>
        <w:t xml:space="preserve"> </w:t>
      </w:r>
      <w:r>
        <w:t xml:space="preserve">zeitlich orientierter lorentzischer Massräume, eine Volumennormierung und einen tatsächlich definierten Vergleichsabstand</w:t>
      </w:r>
      <w:r>
        <w:t xml:space="preserve"> </w:t>
      </w:r>
      <m:oMath>
        <m:sSub>
          <m:e>
            <m:r>
              <m:t>d</m:t>
            </m:r>
          </m:e>
          <m:sub>
            <m:r>
              <m:t>L</m:t>
            </m:r>
          </m:sub>
        </m:sSub>
      </m:oMath>
      <w:r>
        <w:t xml:space="preserve">. Eine geeignete gemessene lorentzsche Gromov-Hausdorff-Konstruktion ist ein möglicher Anschluss. Ihr konkreter Definitionsbereich, die Behandlung von Rändern und gegebenenfalls von Punkten mit identischen Distanzprofilen müssen vor Verwendung festgelegt sein. [10,11]</w:t>
      </w:r>
    </w:p>
    <w:p>
      <w:pPr>
        <w:pStyle w:val="BodyText"/>
        <w:widowControl/>
      </w:pPr>
      <w:r>
        <w:t xml:space="preserve">Zur Festlegung eines endlichen Datenvertrags sei</w:t>
      </w:r>
      <w:r>
        <w:t xml:space="preserve"> </w:t>
      </w:r>
      <m:oMath>
        <m:sSub>
          <m:e>
            <m:r>
              <m:rPr>
                <m:sty m:val="p"/>
                <m:scr m:val="script"/>
              </m:rPr>
              <m:t>P</m:t>
            </m:r>
          </m:e>
          <m:sub>
            <m:r>
              <m:t>k</m:t>
            </m:r>
          </m:sub>
        </m:sSub>
      </m:oMath>
      <w:r>
        <w:t xml:space="preserve"> </w:t>
      </w:r>
      <w:r>
        <w:t xml:space="preserve">die Menge unbeschrifteter</w:t>
      </w:r>
      <w:r>
        <w:t xml:space="preserve"> </w:t>
      </w:r>
      <m:oMath>
        <m:r>
          <m:t>k</m:t>
        </m:r>
      </m:oMath>
      <w:r>
        <w:t xml:space="preserve">-elementiger Ordnungen. Für</w:t>
      </w:r>
      <w:r>
        <w:t xml:space="preserve"> </w:t>
      </w:r>
      <m:oMath>
        <m:r>
          <m:t>k</m:t>
        </m:r>
        <m:r>
          <m:rPr>
            <m:sty m:val="p"/>
          </m:rPr>
          <m:t>≤</m:t>
        </m:r>
        <m:r>
          <m:t>N</m:t>
        </m:r>
      </m:oMath>
      <w:r>
        <w:t xml:space="preserve"> </w:t>
      </w:r>
      <w:r>
        <w:t xml:space="preserve">definieren wir</w:t>
      </w:r>
    </w:p>
    <w:p>
      <w:pPr>
        <w:pStyle w:val="BodyText"/>
        <w:keepLines/>
        <w:widowControl/>
        <w:spacing w:before="60" w:after="160"/>
      </w:pPr>
      <m:oMathPara>
        <m:oMathParaPr>
          <m:jc m:val="center"/>
        </m:oMathParaPr>
        <m:oMath>
          <m:sSub>
            <m:e>
              <m:r>
                <m:t>t</m:t>
              </m:r>
            </m:e>
            <m:sub>
              <m:r>
                <m:t>k</m:t>
              </m:r>
            </m:sub>
          </m:sSub>
          <m:d>
            <m:dPr>
              <m:begChr m:val="("/>
              <m:endChr m:val=")"/>
              <m:sepChr m:val=""/>
              <m:grow/>
            </m:dPr>
            <m:e>
              <m:r>
                <m:t>Q</m:t>
              </m:r>
              <m:r>
                <m:rPr>
                  <m:sty m:val="p"/>
                </m:rPr>
                <m:t>;</m:t>
              </m:r>
              <m:r>
                <m:t>C</m:t>
              </m:r>
            </m:e>
          </m:d>
          <m:r>
            <m:rPr>
              <m:sty m:val="p"/>
            </m:rPr>
            <m:t>=</m:t>
          </m:r>
          <m:sSup>
            <m:e>
              <m:d>
                <m:dPr>
                  <m:begChr m:val="("/>
                  <m:endChr m:val=")"/>
                  <m:sepChr m:val=""/>
                  <m:grow/>
                </m:dPr>
                <m:e>
                  <m:f>
                    <m:fPr>
                      <m:type m:val="noBar"/>
                    </m:fPr>
                    <m:num>
                      <m:r>
                        <m:t>N</m:t>
                      </m:r>
                    </m:num>
                    <m:den>
                      <m:r>
                        <m:t>k</m:t>
                      </m:r>
                    </m:den>
                  </m:f>
                </m:e>
              </m:d>
            </m:e>
            <m:sup>
              <m:r>
                <m:rPr>
                  <m:sty m:val="p"/>
                </m:rPr>
                <m:t>−</m:t>
              </m:r>
              <m:r>
                <m:t>1</m:t>
              </m:r>
            </m:sup>
          </m:sSup>
          <m:r>
            <m:rPr>
              <m:sty m:val="p"/>
            </m:rPr>
            <m:t>#</m:t>
          </m:r>
          <m:r>
            <m:rPr>
              <m:sty m:val="p"/>
            </m:rPr>
            <m:t>{</m:t>
          </m:r>
          <m:r>
            <m:t>U</m:t>
          </m:r>
          <m:r>
            <m:rPr>
              <m:sty m:val="p"/>
            </m:rPr>
            <m:t>⊆</m:t>
          </m:r>
          <m:r>
            <m:t>V</m:t>
          </m:r>
          <m:r>
            <m:rPr>
              <m:sty m:val="p"/>
            </m:rPr>
            <m:t>:</m:t>
          </m:r>
          <m:d>
            <m:dPr>
              <m:begChr m:val="|"/>
              <m:endChr m:val="|"/>
              <m:sepChr m:val=""/>
              <m:grow/>
            </m:dPr>
            <m:e>
              <m:r>
                <m:t>U</m:t>
              </m:r>
            </m:e>
          </m:d>
          <m:r>
            <m:rPr>
              <m:sty m:val="p"/>
            </m:rPr>
            <m:t>=</m:t>
          </m:r>
          <m:r>
            <m:t>k</m:t>
          </m:r>
          <m:r>
            <m:rPr>
              <m:sty m:val="p"/>
            </m:rPr>
            <m:t>,</m:t>
          </m:r>
          <m:r>
            <m:t> </m:t>
          </m:r>
          <m:r>
            <m:t>C</m:t>
          </m:r>
          <m:sSub>
            <m:e>
              <m:r>
                <m:rPr>
                  <m:sty m:val="p"/>
                </m:rPr>
                <m:t>|</m:t>
              </m:r>
            </m:e>
            <m:sub>
              <m:r>
                <m:t>U</m:t>
              </m:r>
            </m:sub>
          </m:sSub>
          <m:r>
            <m:rPr>
              <m:sty m:val="p"/>
            </m:rPr>
            <m:t>≅</m:t>
          </m:r>
          <m:r>
            <m:t>Q</m:t>
          </m:r>
          <m:r>
            <m:rPr>
              <m:sty m:val="p"/>
            </m:rPr>
            <m:t>}</m:t>
          </m:r>
          <m:r>
            <m:rPr>
              <m:sty m:val="p"/>
            </m:rPr>
            <m:t>.</m:t>
          </m:r>
        </m:oMath>
      </m:oMathPara>
    </w:p>
    <w:p>
      <w:pPr>
        <w:pStyle w:val="FirstParagraph"/>
        <w:widowControl/>
      </w:pPr>
      <w:r>
        <w:t xml:space="preserve">Für eine Referenz</w:t>
      </w:r>
      <w:r>
        <w:t xml:space="preserve"> </w:t>
      </w:r>
      <m:oMath>
        <m:r>
          <m:t>X</m:t>
        </m:r>
      </m:oMath>
      <w:r>
        <w:t xml:space="preserve"> </w:t>
      </w:r>
      <w:r>
        <w:t xml:space="preserve">sei</w:t>
      </w:r>
      <w:r>
        <w:t xml:space="preserve"> </w:t>
      </w:r>
      <m:oMath>
        <m:sSubSup>
          <m:e>
            <m:r>
              <m:t>ν</m:t>
            </m:r>
          </m:e>
          <m:sub>
            <m:r>
              <m:t>k</m:t>
            </m:r>
          </m:sub>
          <m:sup>
            <m:r>
              <m:t>X</m:t>
            </m:r>
          </m:sup>
        </m:sSubSup>
        <m:d>
          <m:dPr>
            <m:begChr m:val="("/>
            <m:endChr m:val=")"/>
            <m:sepChr m:val=""/>
            <m:grow/>
          </m:dPr>
          <m:e>
            <m:r>
              <m:t>Q</m:t>
            </m:r>
          </m:e>
        </m:d>
      </m:oMath>
      <w:r>
        <w:t xml:space="preserve"> </w:t>
      </w:r>
      <w:r>
        <w:t xml:space="preserve">die Wahrscheinlichkeit derselben induzierten Ordnung bei</w:t>
      </w:r>
      <w:r>
        <w:t xml:space="preserve"> </w:t>
      </w:r>
      <m:oMath>
        <m:r>
          <m:t>k</m:t>
        </m:r>
      </m:oMath>
      <w:r>
        <w:t xml:space="preserve"> </w:t>
      </w:r>
      <w:r>
        <w:t xml:space="preserve">unabhängigen Punkten aus ihrem normierten Volumenmass. Die protokollierte Diskrepanz für einen endlichen Cutoff</w:t>
      </w:r>
      <w:r>
        <w:t xml:space="preserve"> </w:t>
      </w:r>
      <m:oMath>
        <m:r>
          <m:t>K</m:t>
        </m:r>
        <m:r>
          <m:rPr>
            <m:sty m:val="p"/>
          </m:rPr>
          <m:t>≤</m:t>
        </m:r>
        <m:r>
          <m:t>N</m:t>
        </m:r>
      </m:oMath>
      <w:r>
        <w:t xml:space="preserve"> </w:t>
      </w:r>
      <w:r>
        <w:t xml:space="preserve">ist</w:t>
      </w:r>
    </w:p>
    <w:p>
      <w:pPr>
        <w:pStyle w:val="BodyText"/>
        <w:keepLines/>
        <w:widowControl/>
        <w:spacing w:before="60" w:after="160"/>
      </w:pPr>
      <m:oMathPara>
        <m:oMathParaPr>
          <m:jc m:val="center"/>
        </m:oMathParaPr>
        <m:oMath>
          <m:sSubSup>
            <m:e>
              <m:r>
                <m:t>d</m:t>
              </m:r>
            </m:e>
            <m:sub>
              <m:r>
                <m:rPr>
                  <m:sty m:val="p"/>
                </m:rPr>
                <m:t>o</m:t>
              </m:r>
              <m:r>
                <m:rPr>
                  <m:sty m:val="p"/>
                </m:rPr>
                <m:t>r</m:t>
              </m:r>
              <m:r>
                <m:rPr>
                  <m:sty m:val="p"/>
                </m:rPr>
                <m:t>d</m:t>
              </m:r>
            </m:sub>
            <m:sup>
              <m:r>
                <m:t>K</m:t>
              </m:r>
            </m:sup>
          </m:sSubSup>
          <m:d>
            <m:dPr>
              <m:begChr m:val="("/>
              <m:endChr m:val=")"/>
              <m:sepChr m:val=""/>
              <m:grow/>
            </m:dPr>
            <m:e>
              <m:r>
                <m:t>C</m:t>
              </m:r>
              <m:r>
                <m:rPr>
                  <m:sty m:val="p"/>
                </m:rPr>
                <m:t>,</m:t>
              </m:r>
              <m:r>
                <m:t>X</m:t>
              </m:r>
            </m:e>
          </m:d>
          <m:r>
            <m:rPr>
              <m:sty m:val="p"/>
            </m:rPr>
            <m:t>=</m:t>
          </m:r>
          <m:nary>
            <m:naryPr>
              <m:chr m:val="∑"/>
              <m:limLoc m:val="undOvr"/>
              <m:subHide m:val="off"/>
              <m:supHide m:val="off"/>
            </m:naryPr>
            <m:sub>
              <m:r>
                <m:t>k</m:t>
              </m:r>
              <m:r>
                <m:rPr>
                  <m:sty m:val="p"/>
                </m:rPr>
                <m:t>=</m:t>
              </m:r>
              <m:r>
                <m:t>1</m:t>
              </m:r>
            </m:sub>
            <m:sup>
              <m:r>
                <m:t>K</m:t>
              </m:r>
            </m:sup>
            <m:e>
              <m:sSup>
                <m:e>
                  <m:r>
                    <m:t>2</m:t>
                  </m:r>
                </m:e>
                <m:sup>
                  <m:r>
                    <m:rPr>
                      <m:sty m:val="p"/>
                    </m:rPr>
                    <m:t>−</m:t>
                  </m:r>
                  <m:r>
                    <m:t>k</m:t>
                  </m:r>
                </m:sup>
              </m:sSup>
            </m:e>
          </m:nary>
          <m:r>
            <m:rPr>
              <m:sty m:val="p"/>
            </m:rPr>
            <m:t>TV</m:t>
          </m:r>
          <m:d>
            <m:dPr>
              <m:begChr m:val="("/>
              <m:endChr m:val=")"/>
              <m:sepChr m:val=""/>
              <m:grow/>
            </m:dPr>
            <m:e>
              <m:sSub>
                <m:e>
                  <m:r>
                    <m:t>t</m:t>
                  </m:r>
                </m:e>
                <m:sub>
                  <m:r>
                    <m:t>k</m:t>
                  </m:r>
                </m:sub>
              </m:sSub>
              <m:d>
                <m:dPr>
                  <m:begChr m:val="("/>
                  <m:endChr m:val=")"/>
                  <m:sepChr m:val=""/>
                  <m:grow/>
                </m:dPr>
                <m:e>
                  <m:r>
                    <m:rPr>
                      <m:sty m:val="p"/>
                    </m:rPr>
                    <m:t>⋅</m:t>
                  </m:r>
                  <m:r>
                    <m:rPr>
                      <m:sty m:val="p"/>
                    </m:rPr>
                    <m:t>;</m:t>
                  </m:r>
                  <m:r>
                    <m:t>C</m:t>
                  </m:r>
                </m:e>
              </m:d>
              <m:r>
                <m:rPr>
                  <m:sty m:val="p"/>
                </m:rPr>
                <m:t>,</m:t>
              </m:r>
              <m:sSubSup>
                <m:e>
                  <m:r>
                    <m:t>ν</m:t>
                  </m:r>
                </m:e>
                <m:sub>
                  <m:r>
                    <m:t>k</m:t>
                  </m:r>
                </m:sub>
                <m:sup>
                  <m:r>
                    <m:t>X</m:t>
                  </m:r>
                </m:sup>
              </m:sSubSup>
            </m:e>
          </m:d>
          <m:r>
            <m:rPr>
              <m:sty m:val="p"/>
            </m:rPr>
            <m:t>.</m:t>
          </m:r>
        </m:oMath>
      </m:oMathPara>
    </w:p>
    <w:p>
      <w:pPr>
        <w:pStyle w:val="FirstParagraph"/>
        <w:widowControl/>
      </w:pPr>
      <w:r>
        <w:t xml:space="preserve">Alle Grössen sind hier invariant unter Beschriftung. Diese Diskrepanz ist ein Datenvergleich, kein bereits bewiesener geometrischer Abstand. Sie enthält ohne separate Volumeninformation keine absolute Längenskala. Die Summe ausgelassener Gewichte beträgt</w:t>
      </w:r>
      <w:r>
        <w:t xml:space="preserve"> </w:t>
      </w:r>
      <m:oMath>
        <m:sSup>
          <m:e>
            <m:r>
              <m:t>2</m:t>
            </m:r>
          </m:e>
          <m:sup>
            <m:r>
              <m:rPr>
                <m:sty m:val="p"/>
              </m:rPr>
              <m:t>−</m:t>
            </m:r>
            <m:r>
              <m:t>K</m:t>
            </m:r>
          </m:sup>
        </m:sSup>
      </m:oMath>
      <w:r>
        <w:t xml:space="preserve">; das begrenzt nur den abgeschnittenen Statistikanteil, nicht automatisch den geometrischen Fehler.</w:t>
      </w:r>
    </w:p>
    <w:p>
      <w:pPr>
        <w:pStyle w:val="BodyText"/>
        <w:widowControl/>
      </w:pPr>
      <w:r>
        <w:t xml:space="preserve">Neuere Rekonstruktionsarbeit verbindet die Gesetze sämtlicher endlicher chronologischer Ordnungsstichproben mit Isometrie. Eine präzise Fassung setzt unter anderem gleiche Dimension</w:t>
      </w:r>
      <w:r>
        <w:t xml:space="preserve"> </w:t>
      </w:r>
      <m:oMath>
        <m:r>
          <m:t>d</m:t>
        </m:r>
        <m:r>
          <m:rPr>
            <m:sty m:val="p"/>
          </m:rPr>
          <m:t>≥</m:t>
        </m:r>
        <m:r>
          <m:t>3</m:t>
        </m:r>
      </m:oMath>
      <w:r>
        <w:t xml:space="preserve">, gleiches endliches Gesamtvolumen, kausale Stetigkeit und Zukunfts-Chronovollständigkeit voraus. Das ist ein Identifizierbarkeitssatz unter Voraussetzungen, kein Algorithmus mit endlicher Stichprobengarantie. [12]</w:t>
      </w:r>
    </w:p>
    <w:p>
      <w:pPr>
        <w:pStyle w:val="BodyText"/>
        <w:widowControl/>
      </w:pPr>
      <w:r>
        <w:t xml:space="preserve">Für Daten</w:t>
      </w:r>
      <w:r>
        <w:t xml:space="preserve"> </w:t>
      </w:r>
      <m:oMath>
        <m:r>
          <m:t>y</m:t>
        </m:r>
      </m:oMath>
      <w:r>
        <w:t xml:space="preserve"> </w:t>
      </w:r>
      <w:r>
        <w:t xml:space="preserve">wird die zulässige Rekonstruktionsmenge definiert durch</w:t>
      </w:r>
    </w:p>
    <w:p>
      <w:pPr>
        <w:pStyle w:val="BodyText"/>
        <w:keepLines/>
        <w:widowControl/>
        <w:spacing w:before="60" w:after="160"/>
      </w:pPr>
      <m:oMathPara>
        <m:oMathParaPr>
          <m:jc m:val="center"/>
        </m:oMathParaPr>
        <m:oMath>
          <m:sSub>
            <m:e>
              <m:r>
                <m:rPr>
                  <m:sty m:val="p"/>
                  <m:scr m:val="script"/>
                </m:rPr>
                <m:t>R</m:t>
              </m:r>
            </m:e>
            <m:sub>
              <m:r>
                <m:t>N</m:t>
              </m:r>
              <m:r>
                <m:rPr>
                  <m:sty m:val="p"/>
                </m:rPr>
                <m:t>,</m:t>
              </m:r>
              <m:r>
                <m:t>ϵ</m:t>
              </m:r>
            </m:sub>
          </m:sSub>
          <m:d>
            <m:dPr>
              <m:begChr m:val="("/>
              <m:endChr m:val=")"/>
              <m:sepChr m:val=""/>
              <m:grow/>
            </m:dPr>
            <m:e>
              <m:r>
                <m:t>y</m:t>
              </m:r>
            </m:e>
          </m:d>
          <m:r>
            <m:rPr>
              <m:sty m:val="p"/>
            </m:rPr>
            <m:t>=</m:t>
          </m:r>
          <m:r>
            <m:rPr>
              <m:sty m:val="p"/>
            </m:rPr>
            <m:t>{</m:t>
          </m:r>
          <m:r>
            <m:t>X</m:t>
          </m:r>
          <m:r>
            <m:rPr>
              <m:sty m:val="p"/>
            </m:rPr>
            <m:t>∈</m:t>
          </m:r>
          <m:r>
            <m:rPr>
              <m:sty m:val="p"/>
              <m:scr m:val="fraktur"/>
            </m:rPr>
            <m:t>K</m:t>
          </m:r>
          <m:r>
            <m:rPr>
              <m:sty m:val="p"/>
            </m:rPr>
            <m:t>:</m:t>
          </m:r>
          <m:sSub>
            <m:e>
              <m:r>
                <m:t>d</m:t>
              </m:r>
            </m:e>
            <m:sub>
              <m:r>
                <m:rPr>
                  <m:sty m:val="p"/>
                </m:rPr>
                <m:t>d</m:t>
              </m:r>
              <m:r>
                <m:rPr>
                  <m:sty m:val="p"/>
                </m:rPr>
                <m:t>a</m:t>
              </m:r>
              <m:r>
                <m:rPr>
                  <m:sty m:val="p"/>
                </m:rPr>
                <m:t>t</m:t>
              </m:r>
              <m:r>
                <m:rPr>
                  <m:sty m:val="p"/>
                </m:rPr>
                <m:t>a</m:t>
              </m:r>
            </m:sub>
          </m:sSub>
          <m:d>
            <m:dPr>
              <m:begChr m:val="("/>
              <m:endChr m:val=")"/>
              <m:sepChr m:val=""/>
              <m:grow/>
            </m:dPr>
            <m:e>
              <m:r>
                <m:t>y</m:t>
              </m:r>
              <m:r>
                <m:rPr>
                  <m:sty m:val="p"/>
                </m:rPr>
                <m:t>,</m:t>
              </m:r>
              <m:sSub>
                <m:e>
                  <m:r>
                    <m:t>F</m:t>
                  </m:r>
                </m:e>
                <m:sub>
                  <m:sSub>
                    <m:e>
                      <m:r>
                        <m:t>K</m:t>
                      </m:r>
                    </m:e>
                    <m:sub>
                      <m:r>
                        <m:t>N</m:t>
                      </m:r>
                    </m:sub>
                  </m:sSub>
                </m:sub>
              </m:sSub>
              <m:d>
                <m:dPr>
                  <m:begChr m:val="("/>
                  <m:endChr m:val=")"/>
                  <m:sepChr m:val=""/>
                  <m:grow/>
                </m:dPr>
                <m:e>
                  <m:r>
                    <m:t>X</m:t>
                  </m:r>
                </m:e>
              </m:d>
            </m:e>
          </m:d>
          <m:r>
            <m:rPr>
              <m:sty m:val="p"/>
            </m:rPr>
            <m:t>≤</m:t>
          </m:r>
          <m:sSub>
            <m:e>
              <m:r>
                <m:t>ϵ</m:t>
              </m:r>
            </m:e>
            <m:sub>
              <m:r>
                <m:t>N</m:t>
              </m:r>
            </m:sub>
          </m:sSub>
          <m:r>
            <m:rPr>
              <m:sty m:val="p"/>
            </m:rPr>
            <m:t>,</m:t>
          </m:r>
          <m:r>
            <m:t> </m:t>
          </m:r>
          <m:r>
            <m:rPr>
              <m:nor/>
              <m:sty m:val="p"/>
            </m:rPr>
            <m:t>Volumenvertrag erfüllt</m:t>
          </m:r>
          <m:r>
            <m:rPr>
              <m:sty m:val="p"/>
            </m:rPr>
            <m:t>}</m:t>
          </m:r>
          <m:r>
            <m:rPr>
              <m:sty m:val="p"/>
            </m:rPr>
            <m:t>.</m:t>
          </m:r>
        </m:oMath>
      </m:oMathPara>
    </w:p>
    <w:p>
      <w:pPr>
        <w:pStyle w:val="FirstParagraph"/>
        <w:widowControl/>
      </w:pPr>
      <m:oMath>
        <m:sSub>
          <m:e>
            <m:r>
              <m:t>F</m:t>
            </m:r>
          </m:e>
          <m:sub>
            <m:sSub>
              <m:e>
                <m:r>
                  <m:t>K</m:t>
                </m:r>
              </m:e>
              <m:sub>
                <m:r>
                  <m:t>N</m:t>
                </m:r>
              </m:sub>
            </m:sSub>
          </m:sub>
        </m:sSub>
      </m:oMath>
      <w:r>
        <w:t xml:space="preserve"> </w:t>
      </w:r>
      <w:r>
        <w:t xml:space="preserve">enthält die registrierten Ordnungsstatistiken und bei Bedarf zusätzliche Messkanäle;</w:t>
      </w:r>
      <w:r>
        <w:t xml:space="preserve"> </w:t>
      </w:r>
      <m:oMath>
        <m:sSub>
          <m:e>
            <m:r>
              <m:t>d</m:t>
            </m:r>
          </m:e>
          <m:sub>
            <m:r>
              <m:rPr>
                <m:sty m:val="p"/>
              </m:rPr>
              <m:t>d</m:t>
            </m:r>
            <m:r>
              <m:rPr>
                <m:sty m:val="p"/>
              </m:rPr>
              <m:t>a</m:t>
            </m:r>
            <m:r>
              <m:rPr>
                <m:sty m:val="p"/>
              </m:rPr>
              <m:t>t</m:t>
            </m:r>
            <m:r>
              <m:rPr>
                <m:sty m:val="p"/>
              </m:rPr>
              <m:t>a</m:t>
            </m:r>
          </m:sub>
        </m:sSub>
      </m:oMath>
      <w:r>
        <w:t xml:space="preserve"> </w:t>
      </w:r>
      <w:r>
        <w:t xml:space="preserve">legt deren Gewichtung fest. Endliche Daten verlangen eine kalibrierte Überdeckungsregel. Die vielen Teilmengen einer einzigen Ordnung sind abhängig und dürfen nicht wie unabhängige Sprinklings gezählt werden.</w:t>
      </w:r>
    </w:p>
    <w:p>
      <w:pPr>
        <w:pStyle w:val="BodyText"/>
        <w:widowControl/>
      </w:pPr>
      <w:r>
        <w:t xml:space="preserve">Die Menge muss entweder kontrolliert approximiert oder ihre nicht untersuchten Bereiche ausgewiesen werden. Eine einzelne gute Optimiererlösung beweist weder Nichtleere der korrekten Modellklasse unter Unsicherheit noch Eindeutigkeit aller Lösungen.</w:t>
      </w:r>
    </w:p>
    <w:bookmarkEnd w:id="31"/>
    <w:bookmarkStart w:id="32" w:name="Xf03ab68a45521ee8dad33155deaa83b898c7e5b"/>
    <w:p>
      <w:pPr>
        <w:pStyle w:val="Heading1"/>
        <w:pageBreakBefore/>
        <w:widowControl/>
      </w:pPr>
      <w:r>
        <w:rPr>
          <w:color w:val="000000"/>
        </w:rPr>
        <w:t xml:space="preserve">12 Dynamische Hauptvermutung als Forschungsziel</w:t>
      </w:r>
    </w:p>
    <w:p>
      <w:pPr>
        <w:pStyle w:val="FirstParagraph"/>
        <w:widowControl/>
      </w:pPr>
      <w:r>
        <w:t xml:space="preserve">Die klassische Hauptvermutung betrifft die makroskopische Eindeutigkeit einer geeigneten Kontinuumsapproximation. RAX-CQG ergänzt eine</w:t>
      </w:r>
      <w:r>
        <w:t xml:space="preserve"> </w:t>
      </w:r>
      <w:r>
        <w:rPr>
          <w:bCs/>
          <w:b/>
        </w:rPr>
        <w:t xml:space="preserve">dynamische Forschungsfassung DH</w:t>
      </w:r>
      <w:r>
        <w:t xml:space="preserve">, die Auswahl und Eindeutigkeit ausdrücklich verbindet. Sie wird nicht als bereits bewiesene CST-Aussage bezeichnet.</w:t>
      </w:r>
    </w:p>
    <w:p>
      <w:pPr>
        <w:pStyle w:val="BodyText"/>
        <w:widowControl/>
      </w:pPr>
      <w:r>
        <w:t xml:space="preserve">Wir wählen eine Folge zulässiger dekohärenter makroskopischer Ergebnisräume mit Wahrscheinlichkeiten</w:t>
      </w:r>
      <w:r>
        <w:t xml:space="preserve"> </w:t>
      </w:r>
      <m:oMath>
        <m:sSub>
          <m:e>
            <m:r>
              <m:t>p</m:t>
            </m:r>
          </m:e>
          <m:sub>
            <m:r>
              <m:t>N</m:t>
            </m:r>
          </m:sub>
        </m:sSub>
      </m:oMath>
      <w:r>
        <w:t xml:space="preserve"> </w:t>
      </w:r>
      <w:r>
        <w:t xml:space="preserve">aus Abschnitt 5. Ein Ergebnis</w:t>
      </w:r>
      <w:r>
        <w:t xml:space="preserve"> </w:t>
      </w:r>
      <m:oMath>
        <m:r>
          <m:t>r</m:t>
        </m:r>
      </m:oMath>
      <w:r>
        <w:t xml:space="preserve"> </w:t>
      </w:r>
      <w:r>
        <w:t xml:space="preserve">liefert rekonstruierbare Daten</w:t>
      </w:r>
      <w:r>
        <w:t xml:space="preserve"> </w:t>
      </w:r>
      <m:oMath>
        <m:sSub>
          <m:e>
            <m:r>
              <m:t>y</m:t>
            </m:r>
          </m:e>
          <m:sub>
            <m:r>
              <m:t>N</m:t>
            </m:r>
          </m:sub>
        </m:sSub>
        <m:d>
          <m:dPr>
            <m:begChr m:val="("/>
            <m:endChr m:val=")"/>
            <m:sepChr m:val=""/>
            <m:grow/>
          </m:dPr>
          <m:e>
            <m:r>
              <m:t>r</m:t>
            </m:r>
          </m:e>
        </m:d>
      </m:oMath>
      <w:r>
        <w:t xml:space="preserve">. Die Grenzvorschrift fixiert Volumen beziehungsweise Beobachtungsskala, Kopplungen, statistische Toleranzen und</w:t>
      </w:r>
      <w:r>
        <w:t xml:space="preserve"> </w:t>
      </w:r>
      <m:oMath>
        <m:sSub>
          <m:e>
            <m:r>
              <m:t>K</m:t>
            </m:r>
          </m:e>
          <m:sub>
            <m:r>
              <m:t>N</m:t>
            </m:r>
          </m:sub>
        </m:sSub>
        <m:r>
          <m:rPr>
            <m:sty m:val="p"/>
          </m:rPr>
          <m:t>→</m:t>
        </m:r>
        <m:r>
          <m:rPr>
            <m:sty m:val="p"/>
          </m:rPr>
          <m:t>∞</m:t>
        </m:r>
      </m:oMath>
      <w:r>
        <w:t xml:space="preserve"> </w:t>
      </w:r>
      <w:r>
        <w:t xml:space="preserve">mit</w:t>
      </w:r>
      <w:r>
        <w:t xml:space="preserve"> </w:t>
      </w:r>
      <m:oMath>
        <m:sSub>
          <m:e>
            <m:r>
              <m:t>K</m:t>
            </m:r>
          </m:e>
          <m:sub>
            <m:r>
              <m:t>N</m:t>
            </m:r>
          </m:sub>
        </m:sSub>
        <m:r>
          <m:rPr>
            <m:sty m:val="p"/>
          </m:rPr>
          <m:t>≤</m:t>
        </m:r>
        <m:r>
          <m:t>N</m:t>
        </m:r>
      </m:oMath>
      <w:r>
        <w:t xml:space="preserve">.</w:t>
      </w:r>
    </w:p>
    <w:p>
      <w:pPr>
        <w:pStyle w:val="BodyText"/>
        <w:widowControl/>
      </w:pPr>
      <w:r>
        <w:t xml:space="preserve">Für</w:t>
      </w:r>
      <w:r>
        <w:t xml:space="preserve"> </w:t>
      </w:r>
      <m:oMath>
        <m:sSub>
          <m:e>
            <m:r>
              <m:t>δ</m:t>
            </m:r>
          </m:e>
          <m:sub>
            <m:r>
              <m:t>N</m:t>
            </m:r>
          </m:sub>
        </m:sSub>
        <m:r>
          <m:rPr>
            <m:sty m:val="p"/>
          </m:rPr>
          <m:t>→</m:t>
        </m:r>
        <m:r>
          <m:t>0</m:t>
        </m:r>
      </m:oMath>
      <w:r>
        <w:t xml:space="preserve"> </w:t>
      </w:r>
      <w:r>
        <w:t xml:space="preserve">definieren wir das gute Ereignis</w:t>
      </w:r>
    </w:p>
    <w:p>
      <w:pPr>
        <w:pStyle w:val="BodyText"/>
        <w:keepLines/>
        <w:widowControl/>
        <w:spacing w:before="60" w:after="160"/>
      </w:pPr>
      <m:oMathPara>
        <m:oMathParaPr>
          <m:jc m:val="center"/>
        </m:oMathParaPr>
        <m:oMath>
          <m:sSub>
            <m:e>
              <m:r>
                <m:t>G</m:t>
              </m:r>
            </m:e>
            <m:sub>
              <m:r>
                <m:t>N</m:t>
              </m:r>
            </m:sub>
          </m:sSub>
          <m:r>
            <m:rPr>
              <m:sty m:val="p"/>
            </m:rPr>
            <m:t>=</m:t>
          </m:r>
          <m:r>
            <m:rPr>
              <m:sty m:val="p"/>
            </m:rPr>
            <m:t>{</m:t>
          </m:r>
          <m:r>
            <m:t>r</m:t>
          </m:r>
          <m:r>
            <m:rPr>
              <m:sty m:val="p"/>
            </m:rPr>
            <m:t>:</m:t>
          </m:r>
          <m:sSub>
            <m:e>
              <m:r>
                <m:rPr>
                  <m:sty m:val="p"/>
                  <m:scr m:val="script"/>
                </m:rPr>
                <m:t>R</m:t>
              </m:r>
            </m:e>
            <m:sub>
              <m:r>
                <m:t>N</m:t>
              </m:r>
              <m:r>
                <m:rPr>
                  <m:sty m:val="p"/>
                </m:rPr>
                <m:t>,</m:t>
              </m:r>
              <m:r>
                <m:t>ϵ</m:t>
              </m:r>
            </m:sub>
          </m:sSub>
          <m:d>
            <m:dPr>
              <m:begChr m:val="("/>
              <m:endChr m:val=")"/>
              <m:sepChr m:val=""/>
              <m:grow/>
            </m:dPr>
            <m:e>
              <m:sSub>
                <m:e>
                  <m:r>
                    <m:t>y</m:t>
                  </m:r>
                </m:e>
                <m:sub>
                  <m:r>
                    <m:t>N</m:t>
                  </m:r>
                </m:sub>
              </m:sSub>
              <m:d>
                <m:dPr>
                  <m:begChr m:val="("/>
                  <m:endChr m:val=")"/>
                  <m:sepChr m:val=""/>
                  <m:grow/>
                </m:dPr>
                <m:e>
                  <m:r>
                    <m:t>r</m:t>
                  </m:r>
                </m:e>
              </m:d>
            </m:e>
          </m:d>
          <m:r>
            <m:rPr>
              <m:sty m:val="p"/>
            </m:rPr>
            <m:t>≠</m:t>
          </m:r>
          <m:r>
            <m:rPr>
              <m:sty m:val="p"/>
            </m:rPr>
            <m:t>⌀</m:t>
          </m:r>
          <m:r>
            <m:rPr>
              <m:sty m:val="p"/>
            </m:rPr>
            <m:t>,</m:t>
          </m:r>
          <m:r>
            <m:t> </m:t>
          </m:r>
          <m:sSub>
            <m:e>
              <m:r>
                <m:rPr>
                  <m:sty m:val="p"/>
                </m:rPr>
                <m:t>diam</m:t>
              </m:r>
            </m:e>
            <m:sub>
              <m:sSub>
                <m:e>
                  <m:r>
                    <m:t>d</m:t>
                  </m:r>
                </m:e>
                <m:sub>
                  <m:r>
                    <m:t>L</m:t>
                  </m:r>
                </m:sub>
              </m:sSub>
            </m:sub>
          </m:sSub>
          <m:sSub>
            <m:e>
              <m:r>
                <m:rPr>
                  <m:sty m:val="p"/>
                  <m:scr m:val="script"/>
                </m:rPr>
                <m:t>R</m:t>
              </m:r>
            </m:e>
            <m:sub>
              <m:r>
                <m:t>N</m:t>
              </m:r>
              <m:r>
                <m:rPr>
                  <m:sty m:val="p"/>
                </m:rPr>
                <m:t>,</m:t>
              </m:r>
              <m:r>
                <m:t>ϵ</m:t>
              </m:r>
            </m:sub>
          </m:sSub>
          <m:d>
            <m:dPr>
              <m:begChr m:val="("/>
              <m:endChr m:val=")"/>
              <m:sepChr m:val=""/>
              <m:grow/>
            </m:dPr>
            <m:e>
              <m:sSub>
                <m:e>
                  <m:r>
                    <m:t>y</m:t>
                  </m:r>
                </m:e>
                <m:sub>
                  <m:r>
                    <m:t>N</m:t>
                  </m:r>
                </m:sub>
              </m:sSub>
              <m:d>
                <m:dPr>
                  <m:begChr m:val="("/>
                  <m:endChr m:val=")"/>
                  <m:sepChr m:val=""/>
                  <m:grow/>
                </m:dPr>
                <m:e>
                  <m:r>
                    <m:t>r</m:t>
                  </m:r>
                </m:e>
              </m:d>
            </m:e>
          </m:d>
          <m:r>
            <m:rPr>
              <m:sty m:val="p"/>
            </m:rPr>
            <m:t>≤</m:t>
          </m:r>
          <m:sSub>
            <m:e>
              <m:r>
                <m:t>δ</m:t>
              </m:r>
            </m:e>
            <m:sub>
              <m:r>
                <m:t>N</m:t>
              </m:r>
            </m:sub>
          </m:sSub>
          <m:r>
            <m:rPr>
              <m:sty m:val="p"/>
            </m:rPr>
            <m:t>}</m:t>
          </m:r>
          <m:r>
            <m:rPr>
              <m:sty m:val="p"/>
            </m:rPr>
            <m:t>.</m:t>
          </m:r>
        </m:oMath>
      </m:oMathPara>
    </w:p>
    <w:p>
      <w:pPr>
        <w:pStyle w:val="FirstParagraph"/>
        <w:widowControl/>
      </w:pPr>
      <w:r>
        <w:rPr>
          <w:bCs/>
          <w:b/>
        </w:rPr>
        <w:t xml:space="preserve">Vermutung DH:</w:t>
      </w:r>
      <w:r>
        <w:t xml:space="preserve"> </w:t>
      </w:r>
      <w:r>
        <w:t xml:space="preserve">Für mindestens ein nichttriviales, offen beschriebenes Parameterregime und eine begründete makroskopische Ergebnisstruktur gilt</w:t>
      </w:r>
    </w:p>
    <w:p>
      <w:pPr>
        <w:pStyle w:val="BodyText"/>
        <w:keepLines/>
        <w:widowControl/>
        <w:spacing w:before="60" w:after="160"/>
      </w:pPr>
      <m:oMathPara>
        <m:oMathParaPr>
          <m:jc m:val="center"/>
        </m:oMathParaPr>
        <m:oMath>
          <m:sSub>
            <m:e>
              <m:r>
                <m:t>p</m:t>
              </m:r>
            </m:e>
            <m:sub>
              <m:r>
                <m:t>N</m:t>
              </m:r>
            </m:sub>
          </m:sSub>
          <m:d>
            <m:dPr>
              <m:begChr m:val="("/>
              <m:endChr m:val=")"/>
              <m:sepChr m:val=""/>
              <m:grow/>
            </m:dPr>
            <m:e>
              <m:sSub>
                <m:e>
                  <m:r>
                    <m:t>G</m:t>
                  </m:r>
                </m:e>
                <m:sub>
                  <m:r>
                    <m:t>N</m:t>
                  </m:r>
                </m:sub>
              </m:sSub>
            </m:e>
          </m:d>
          <m:r>
            <m:rPr>
              <m:sty m:val="p"/>
            </m:rPr>
            <m:t>→</m:t>
          </m:r>
          <m:r>
            <m:t>1</m:t>
          </m:r>
          <m:r>
            <m:rPr>
              <m:sty m:val="p"/>
            </m:rPr>
            <m:t>.</m:t>
          </m:r>
        </m:oMath>
      </m:oMathPara>
    </w:p>
    <w:p>
      <w:pPr>
        <w:pStyle w:val="FirstParagraph"/>
        <w:widowControl/>
      </w:pPr>
      <w:r>
        <w:t xml:space="preserve">Die Nichtleere ist notwendig: Eine leere Rekonstruktionsmenge darf nicht durch eine Durchmesser-Konvention als erfolgreiche Eindeutigkeit zählen. Die Ereignisse müssen in der zugelassenen Ergebnisalgebra liegen. Ohne Dekohärenz wird</w:t>
      </w:r>
      <w:r>
        <w:t xml:space="preserve"> </w:t>
      </w:r>
      <m:oMath>
        <m:sSub>
          <m:e>
            <m:r>
              <m:t>μ</m:t>
            </m:r>
          </m:e>
          <m:sub>
            <m:r>
              <m:t>N</m:t>
            </m:r>
          </m:sub>
        </m:sSub>
        <m:d>
          <m:dPr>
            <m:begChr m:val="("/>
            <m:endChr m:val=")"/>
            <m:sepChr m:val=""/>
            <m:grow/>
          </m:dPr>
          <m:e>
            <m:sSub>
              <m:e>
                <m:r>
                  <m:t>G</m:t>
                </m:r>
              </m:e>
              <m:sub>
                <m:r>
                  <m:t>N</m:t>
                </m:r>
              </m:sub>
            </m:sSub>
          </m:e>
        </m:d>
      </m:oMath>
      <w:r>
        <w:t xml:space="preserve"> </w:t>
      </w:r>
      <w:r>
        <w:t xml:space="preserve">nicht stillschweigend als gewöhnliche Wahrscheinlichkeit behandelt. Eine entsprechende Aussage unter einem positiven Hilfsensemble</w:t>
      </w:r>
      <w:r>
        <w:t xml:space="preserve"> </w:t>
      </w:r>
      <m:oMath>
        <m:sSub>
          <m:e>
            <m:r>
              <m:t>π</m:t>
            </m:r>
          </m:e>
          <m:sub>
            <m:r>
              <m:t>N</m:t>
            </m:r>
          </m:sub>
        </m:sSub>
      </m:oMath>
      <w:r>
        <w:t xml:space="preserve"> </w:t>
      </w:r>
      <w:r>
        <w:t xml:space="preserve">bleibt eine Aussage über dieses Ensemble.</w:t>
      </w:r>
    </w:p>
    <w:p>
      <w:pPr>
        <w:pStyle w:val="BodyText"/>
        <w:widowControl/>
      </w:pPr>
      <w:r>
        <w:t xml:space="preserve">Die Kandidatenklasse muss relevante Alternativen enthalten und vorab feststehen. Ihre nachträgliche Einschränkung auf die bevorzugte Geometrie wäre kein Eindeutigkeitsnachweis.</w:t>
      </w:r>
    </w:p>
    <w:p>
      <w:pPr>
        <w:pStyle w:val="BodyText"/>
        <w:widowControl/>
      </w:pPr>
      <w:r>
        <w:t xml:space="preserve">DH wird in vier getrennte Beweisaufgaben zerlegt:</w:t>
      </w:r>
    </w:p>
    <w:p>
      <w:pPr>
        <w:widowControl/>
        <w:numPr>
          <w:ilvl w:val="0"/>
          <w:numId w:val="1001"/>
        </w:numPr>
        <w:pStyle w:val="Compact"/>
      </w:pPr>
      <w:r>
        <w:rPr>
          <w:bCs/>
          <w:b/>
        </w:rPr>
        <w:t xml:space="preserve">Existenz und Straffheit:</w:t>
      </w:r>
      <w:r>
        <w:t xml:space="preserve"> </w:t>
      </w:r>
      <w:r>
        <w:t xml:space="preserve">Dynamisch relevante Daten besitzen Rekonstruktionen und entweichen nicht vollständig aus einer kontrollierten Geometrieklasse.</w:t>
      </w:r>
    </w:p>
    <w:p>
      <w:pPr>
        <w:widowControl/>
        <w:numPr>
          <w:ilvl w:val="0"/>
          <w:numId w:val="1001"/>
        </w:numPr>
        <w:pStyle w:val="Compact"/>
      </w:pPr>
      <w:r>
        <w:rPr>
          <w:bCs/>
          <w:b/>
        </w:rPr>
        <w:t xml:space="preserve">Identifizierbarkeit:</w:t>
      </w:r>
      <w:r>
        <w:t xml:space="preserve"> </w:t>
      </w:r>
      <w:r>
        <w:t xml:space="preserve">Der vollständige Grenzdatenvertrag trennt geometrisch verschiedene Kandidaten im gewählten Geltungsbereich.</w:t>
      </w:r>
    </w:p>
    <w:p>
      <w:pPr>
        <w:widowControl/>
        <w:numPr>
          <w:ilvl w:val="0"/>
          <w:numId w:val="1001"/>
        </w:numPr>
        <w:pStyle w:val="Compact"/>
      </w:pPr>
      <w:r>
        <w:rPr>
          <w:bCs/>
          <w:b/>
        </w:rPr>
        <w:t xml:space="preserve">Stabilität:</w:t>
      </w:r>
      <w:r>
        <w:t xml:space="preserve"> </w:t>
      </w:r>
      <w:r>
        <w:t xml:space="preserve">Kleine Datenfehler führen quantitativ nur zu kleinen geometrischen Unsicherheiten.</w:t>
      </w:r>
    </w:p>
    <w:p>
      <w:pPr>
        <w:widowControl/>
        <w:numPr>
          <w:ilvl w:val="0"/>
          <w:numId w:val="1001"/>
        </w:numPr>
        <w:pStyle w:val="Compact"/>
      </w:pPr>
      <w:r>
        <w:rPr>
          <w:bCs/>
          <w:b/>
        </w:rPr>
        <w:t xml:space="preserve">Dynamische Konzentration:</w:t>
      </w:r>
      <w:r>
        <w:t xml:space="preserve"> </w:t>
      </w:r>
      <w:r>
        <w:t xml:space="preserve">Das zugrunde liegende Modell weist den so kontrollierten Ergebnissen asymptotisch das erforderliche Gewicht zu.</w:t>
      </w:r>
    </w:p>
    <w:p>
      <w:pPr>
        <w:pStyle w:val="FirstParagraph"/>
        <w:widowControl/>
      </w:pPr>
      <w:r>
        <w:t xml:space="preserve">Ein nützlicher bedingter Satz: Ist</w:t>
      </w:r>
      <w:r>
        <w:t xml:space="preserve"> </w:t>
      </w:r>
      <m:oMath>
        <m:r>
          <m:rPr>
            <m:sty m:val="p"/>
            <m:scr m:val="fraktur"/>
          </m:rPr>
          <m:t>K</m:t>
        </m:r>
      </m:oMath>
      <w:r>
        <w:t xml:space="preserve"> </w:t>
      </w:r>
      <w:r>
        <w:t xml:space="preserve">kompakt und die vollständige Beobachtungsabbildung</w:t>
      </w:r>
      <w:r>
        <w:t xml:space="preserve"> </w:t>
      </w:r>
      <m:oMath>
        <m:r>
          <m:t>F</m:t>
        </m:r>
      </m:oMath>
      <w:r>
        <w:t xml:space="preserve"> </w:t>
      </w:r>
      <w:r>
        <w:t xml:space="preserve">stetig und injektiv in einen metrischen Datenraum, besitzt</w:t>
      </w:r>
      <w:r>
        <w:t xml:space="preserve"> </w:t>
      </w:r>
      <m:oMath>
        <m:sSup>
          <m:e>
            <m:r>
              <m:t>F</m:t>
            </m:r>
          </m:e>
          <m:sup>
            <m:r>
              <m:rPr>
                <m:sty m:val="p"/>
              </m:rPr>
              <m:t>−</m:t>
            </m:r>
            <m:r>
              <m:t>1</m:t>
            </m:r>
          </m:sup>
        </m:sSup>
      </m:oMath>
      <w:r>
        <w:t xml:space="preserve"> </w:t>
      </w:r>
      <w:r>
        <w:t xml:space="preserve">auf</w:t>
      </w:r>
      <w:r>
        <w:t xml:space="preserve"> </w:t>
      </w:r>
      <m:oMath>
        <m:r>
          <m:t>F</m:t>
        </m:r>
        <m:d>
          <m:dPr>
            <m:begChr m:val="("/>
            <m:endChr m:val=")"/>
            <m:sepChr m:val=""/>
            <m:grow/>
          </m:dPr>
          <m:e>
            <m:r>
              <m:rPr>
                <m:sty m:val="p"/>
                <m:scr m:val="fraktur"/>
              </m:rPr>
              <m:t>K</m:t>
            </m:r>
          </m:e>
        </m:d>
      </m:oMath>
      <w:r>
        <w:t xml:space="preserve"> </w:t>
      </w:r>
      <w:r>
        <w:t xml:space="preserve">eine gleichmässig stetige Umkehrung. Beweis: Eine stetige Bijektion von einem kompakten Raum in einen Hausdorffraum ist ein Homöomorphismus; auf kompaktem Bild ist die Umkehrung gleichmässig stetig. Die Anwendung auf lorentzische Klassen verlangt gerade den Nachweis dieser Voraussetzungen.</w:t>
      </w:r>
    </w:p>
    <w:p>
      <w:pPr>
        <w:pStyle w:val="BodyText"/>
        <w:widowControl/>
      </w:pPr>
      <w:r>
        <w:t xml:space="preserve">Selbst bewiesenes DH würde keine Einstein-Gleichungen, Materiesektoren oder Auswahl von</w:t>
      </w:r>
      <w:r>
        <w:t xml:space="preserve"> </w:t>
      </w:r>
      <m:oMath>
        <m:r>
          <m:t>d</m:t>
        </m:r>
        <m:r>
          <m:rPr>
            <m:sty m:val="p"/>
          </m:rPr>
          <m:t>=</m:t>
        </m:r>
        <m:r>
          <m:t>4</m:t>
        </m:r>
      </m:oMath>
      <w:r>
        <w:t xml:space="preserve"> </w:t>
      </w:r>
      <w:r>
        <w:t xml:space="preserve">liefern. Diese benötigen zusätzliche dynamische Grenzwertsätze und unabhängige Vorhersagen.</w:t>
      </w:r>
    </w:p>
    <w:bookmarkEnd w:id="32"/>
    <w:bookmarkStart w:id="33" w:name="Xc635773426aa1d2c589cfcba95784a0a6ee2029"/>
    <w:p>
      <w:pPr>
        <w:pStyle w:val="Heading1"/>
        <w:pageBreakBefore/>
        <w:widowControl/>
      </w:pPr>
      <w:r>
        <w:rPr>
          <w:color w:val="000000"/>
        </w:rPr>
        <w:t xml:space="preserve">13 Singularitäten und Verlust der Rekonstruierbarkeit</w:t>
      </w:r>
    </w:p>
    <w:p>
      <w:pPr>
        <w:pStyle w:val="FirstParagraph"/>
        <w:widowControl/>
      </w:pPr>
      <w:r>
        <w:t xml:space="preserve">Der Ausdruck „Singularität als Verlust stabiler Rekonstruierbarkeit“ erhält zunächst eine operationale Bedeutung relativ zu Datenvertrag und Kandidatenklasse. Für Störniveau</w:t>
      </w:r>
      <w:r>
        <w:t xml:space="preserve"> </w:t>
      </w:r>
      <m:oMath>
        <m:r>
          <m:t>η</m:t>
        </m:r>
      </m:oMath>
      <w:r>
        <w:t xml:space="preserve"> </w:t>
      </w:r>
      <w:r>
        <w:t xml:space="preserve">setzen wir</w:t>
      </w:r>
    </w:p>
    <w:p>
      <w:pPr>
        <w:pStyle w:val="BodyText"/>
        <w:keepLines/>
        <w:widowControl/>
        <w:spacing w:before="60" w:after="160"/>
      </w:pPr>
      <m:oMathPara>
        <m:oMathParaPr>
          <m:jc m:val="center"/>
        </m:oMathParaPr>
        <m:oMath>
          <m:sSub>
            <m:e>
              <m:r>
                <m:rPr>
                  <m:sty m:val="p"/>
                  <m:scr m:val="script"/>
                </m:rPr>
                <m:t>U</m:t>
              </m:r>
            </m:e>
            <m:sub>
              <m:r>
                <m:t>N</m:t>
              </m:r>
              <m:r>
                <m:rPr>
                  <m:sty m:val="p"/>
                </m:rPr>
                <m:t>,</m:t>
              </m:r>
              <m:r>
                <m:t>η</m:t>
              </m:r>
            </m:sub>
          </m:sSub>
          <m:d>
            <m:dPr>
              <m:begChr m:val="("/>
              <m:endChr m:val=")"/>
              <m:sepChr m:val=""/>
              <m:grow/>
            </m:dPr>
            <m:e>
              <m:r>
                <m:t>y</m:t>
              </m:r>
            </m:e>
          </m:d>
          <m:r>
            <m:rPr>
              <m:sty m:val="p"/>
            </m:rPr>
            <m:t>=</m:t>
          </m:r>
          <m:limLow>
            <m:e>
              <m:r>
                <m:rPr>
                  <m:sty m:val="p"/>
                </m:rPr>
                <m:t>⋃</m:t>
              </m:r>
            </m:e>
            <m:lim>
              <m:sSub>
                <m:e>
                  <m:r>
                    <m:t>d</m:t>
                  </m:r>
                </m:e>
                <m:sub>
                  <m:r>
                    <m:rPr>
                      <m:sty m:val="p"/>
                    </m:rPr>
                    <m:t>d</m:t>
                  </m:r>
                  <m:r>
                    <m:rPr>
                      <m:sty m:val="p"/>
                    </m:rPr>
                    <m:t>a</m:t>
                  </m:r>
                  <m:r>
                    <m:rPr>
                      <m:sty m:val="p"/>
                    </m:rPr>
                    <m:t>t</m:t>
                  </m:r>
                  <m:r>
                    <m:rPr>
                      <m:sty m:val="p"/>
                    </m:rPr>
                    <m:t>a</m:t>
                  </m:r>
                </m:sub>
              </m:sSub>
              <m:d>
                <m:dPr>
                  <m:begChr m:val="("/>
                  <m:endChr m:val=")"/>
                  <m:sepChr m:val=""/>
                  <m:grow/>
                </m:dPr>
                <m:e>
                  <m:r>
                    <m:t>y</m:t>
                  </m:r>
                  <m:r>
                    <m:rPr>
                      <m:sty m:val="p"/>
                    </m:rPr>
                    <m:t>,</m:t>
                  </m:r>
                  <m:r>
                    <m:t>y</m:t>
                  </m:r>
                  <m:r>
                    <m:rPr>
                      <m:sty m:val="p"/>
                    </m:rPr>
                    <m:t>′</m:t>
                  </m:r>
                </m:e>
              </m:d>
              <m:r>
                <m:rPr>
                  <m:sty m:val="p"/>
                </m:rPr>
                <m:t>≤</m:t>
              </m:r>
              <m:r>
                <m:t>η</m:t>
              </m:r>
            </m:lim>
          </m:limLow>
          <m:sSub>
            <m:e>
              <m:r>
                <m:rPr>
                  <m:sty m:val="p"/>
                  <m:scr m:val="script"/>
                </m:rPr>
                <m:t>R</m:t>
              </m:r>
            </m:e>
            <m:sub>
              <m:r>
                <m:t>N</m:t>
              </m:r>
              <m:r>
                <m:rPr>
                  <m:sty m:val="p"/>
                </m:rPr>
                <m:t>,</m:t>
              </m:r>
              <m:r>
                <m:t>ϵ</m:t>
              </m:r>
            </m:sub>
          </m:sSub>
          <m:d>
            <m:dPr>
              <m:begChr m:val="("/>
              <m:endChr m:val=")"/>
              <m:sepChr m:val=""/>
              <m:grow/>
            </m:dPr>
            <m:e>
              <m:r>
                <m:t>y</m:t>
              </m:r>
              <m:r>
                <m:rPr>
                  <m:sty m:val="p"/>
                </m:rPr>
                <m:t>′</m:t>
              </m:r>
            </m:e>
          </m:d>
          <m:r>
            <m:rPr>
              <m:sty m:val="p"/>
            </m:rPr>
            <m:t>,</m:t>
          </m:r>
          <m:r>
            <m:t>  </m:t>
          </m:r>
          <m:sSub>
            <m:e>
              <m:r>
                <m:t>ω</m:t>
              </m:r>
            </m:e>
            <m:sub>
              <m:r>
                <m:t>N</m:t>
              </m:r>
            </m:sub>
          </m:sSub>
          <m:d>
            <m:dPr>
              <m:begChr m:val="("/>
              <m:endChr m:val=")"/>
              <m:sepChr m:val=""/>
              <m:grow/>
            </m:dPr>
            <m:e>
              <m:r>
                <m:t>y</m:t>
              </m:r>
              <m:r>
                <m:rPr>
                  <m:sty m:val="p"/>
                </m:rPr>
                <m:t>,</m:t>
              </m:r>
              <m:r>
                <m:t>η</m:t>
              </m:r>
            </m:e>
          </m:d>
          <m:r>
            <m:rPr>
              <m:sty m:val="p"/>
            </m:rPr>
            <m:t>=</m:t>
          </m:r>
          <m:sSub>
            <m:e>
              <m:r>
                <m:rPr>
                  <m:sty m:val="p"/>
                </m:rPr>
                <m:t>diam</m:t>
              </m:r>
            </m:e>
            <m:sub>
              <m:sSub>
                <m:e>
                  <m:r>
                    <m:t>d</m:t>
                  </m:r>
                </m:e>
                <m:sub>
                  <m:r>
                    <m:t>L</m:t>
                  </m:r>
                </m:sub>
              </m:sSub>
            </m:sub>
          </m:sSub>
          <m:sSub>
            <m:e>
              <m:r>
                <m:rPr>
                  <m:sty m:val="p"/>
                  <m:scr m:val="script"/>
                </m:rPr>
                <m:t>U</m:t>
              </m:r>
            </m:e>
            <m:sub>
              <m:r>
                <m:t>N</m:t>
              </m:r>
              <m:r>
                <m:rPr>
                  <m:sty m:val="p"/>
                </m:rPr>
                <m:t>,</m:t>
              </m:r>
              <m:r>
                <m:t>η</m:t>
              </m:r>
            </m:sub>
          </m:sSub>
          <m:d>
            <m:dPr>
              <m:begChr m:val="("/>
              <m:endChr m:val=")"/>
              <m:sepChr m:val=""/>
              <m:grow/>
            </m:dPr>
            <m:e>
              <m:r>
                <m:t>y</m:t>
              </m:r>
            </m:e>
          </m:d>
          <m:r>
            <m:rPr>
              <m:sty m:val="p"/>
            </m:rPr>
            <m:t>.</m:t>
          </m:r>
        </m:oMath>
      </m:oMathPara>
    </w:p>
    <w:p>
      <w:pPr>
        <w:pStyle w:val="FirstParagraph"/>
        <w:widowControl/>
      </w:pPr>
      <w:r>
        <w:t xml:space="preserve">Nichtleere der relevanten Mengen ist separat zu verlangen. Stabile Rekonstruktion entlang einer kontrollierten Folge bedeutet beispielsweise</w:t>
      </w:r>
    </w:p>
    <w:p>
      <w:pPr>
        <w:pStyle w:val="BodyText"/>
        <w:keepLines/>
        <w:widowControl/>
        <w:spacing w:before="60" w:after="160"/>
      </w:pPr>
      <m:oMathPara>
        <m:oMathParaPr>
          <m:jc m:val="center"/>
        </m:oMathParaPr>
        <m:oMath>
          <m:limLow>
            <m:e>
              <m:r>
                <m:rPr>
                  <m:sty m:val="p"/>
                </m:rPr>
                <m:t>lim</m:t>
              </m:r>
            </m:e>
            <m:lim>
              <m:r>
                <m:t>η</m:t>
              </m:r>
              <m:r>
                <m:rPr>
                  <m:sty m:val="p"/>
                </m:rPr>
                <m:t>↓</m:t>
              </m:r>
              <m:r>
                <m:t>0</m:t>
              </m:r>
            </m:lim>
          </m:limLow>
          <m:limLow>
            <m:e>
              <m:r>
                <m:rPr>
                  <m:sty m:val="p"/>
                </m:rPr>
                <m:t>limsup</m:t>
              </m:r>
            </m:e>
            <m:lim>
              <m:r>
                <m:t>N</m:t>
              </m:r>
              <m:r>
                <m:rPr>
                  <m:sty m:val="p"/>
                </m:rPr>
                <m:t>→</m:t>
              </m:r>
              <m:r>
                <m:rPr>
                  <m:sty m:val="p"/>
                </m:rPr>
                <m:t>∞</m:t>
              </m:r>
            </m:lim>
          </m:limLow>
          <m:sSub>
            <m:e>
              <m:r>
                <m:t>ω</m:t>
              </m:r>
            </m:e>
            <m:sub>
              <m:r>
                <m:t>N</m:t>
              </m:r>
            </m:sub>
          </m:sSub>
          <m:d>
            <m:dPr>
              <m:begChr m:val="("/>
              <m:endChr m:val=")"/>
              <m:sepChr m:val=""/>
              <m:grow/>
            </m:dPr>
            <m:e>
              <m:sSub>
                <m:e>
                  <m:r>
                    <m:t>y</m:t>
                  </m:r>
                </m:e>
                <m:sub>
                  <m:r>
                    <m:t>N</m:t>
                  </m:r>
                </m:sub>
              </m:sSub>
              <m:r>
                <m:rPr>
                  <m:sty m:val="p"/>
                </m:rPr>
                <m:t>,</m:t>
              </m:r>
              <m:r>
                <m:t>η</m:t>
              </m:r>
            </m:e>
          </m:d>
          <m:r>
            <m:rPr>
              <m:sty m:val="p"/>
            </m:rPr>
            <m:t>=</m:t>
          </m:r>
          <m:r>
            <m:t>0</m:t>
          </m:r>
          <m:r>
            <m:rPr>
              <m:sty m:val="p"/>
            </m:rPr>
            <m:t>,</m:t>
          </m:r>
        </m:oMath>
      </m:oMathPara>
    </w:p>
    <w:p>
      <w:pPr>
        <w:pStyle w:val="FirstParagraph"/>
        <w:widowControl/>
      </w:pPr>
      <w:r>
        <w:t xml:space="preserve">zusammen mit konsistenter Datenfehler- und Grenzskalierung. Ein solches uniformes Kriterium ist stärker als die Stabilität eines einzelnen endlichen Fits. Die Reihenfolge der Grenzwerte ist Teil des Vertrags.</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4082"/>
        <w:gridCol w:w="3572"/>
      </w:tblGrid>
      <w:tr>
        <w:trPr>
          <w:tblHeader w:val="true"/>
          <w:cantSplit/>
        </w:trPr>
        <w:tc>
          <w:tcPr>
            <w:tcW w:type="dxa" w:w="1984"/>
            <w:vAlign w:val="center"/>
            <w:tcMar>
              <w:top w:w="80" w:type="dxa"/>
              <w:bottom w:w="80" w:type="dxa"/>
              <w:left w:w="90" w:type="dxa"/>
              <w:right w:w="90" w:type="dxa"/>
            </w:tcMar>
            <w:shd w:fill="E7EDF3"/>
          </w:tcPr>
          <w:p>
            <w:pPr>
              <w:spacing w:after="20" w:before="20" w:line="240" w:lineRule="auto"/>
              <w:jc w:val="left"/>
            </w:pPr>
            <w:r>
              <w:rPr>
                <w:b/>
                <w:sz w:val="19"/>
              </w:rPr>
              <w:t xml:space="preserve">Diagnose</w:t>
            </w:r>
          </w:p>
        </w:tc>
        <w:tc>
          <w:tcPr>
            <w:tcW w:type="dxa" w:w="4082"/>
            <w:vAlign w:val="center"/>
            <w:tcMar>
              <w:top w:w="80" w:type="dxa"/>
              <w:bottom w:w="80" w:type="dxa"/>
              <w:left w:w="90" w:type="dxa"/>
              <w:right w:w="90" w:type="dxa"/>
            </w:tcMar>
            <w:shd w:fill="E7EDF3"/>
          </w:tcPr>
          <w:p>
            <w:pPr>
              <w:spacing w:after="20" w:before="20" w:line="240" w:lineRule="auto"/>
              <w:jc w:val="left"/>
            </w:pPr>
            <w:r>
              <w:rPr>
                <w:b/>
                <w:sz w:val="19"/>
              </w:rPr>
              <w:t xml:space="preserve">Mathematische Bedeutung</w:t>
            </w:r>
          </w:p>
        </w:tc>
        <w:tc>
          <w:tcPr>
            <w:tcW w:type="dxa" w:w="3572"/>
            <w:vAlign w:val="center"/>
            <w:tcMar>
              <w:top w:w="80" w:type="dxa"/>
              <w:bottom w:w="80" w:type="dxa"/>
              <w:left w:w="90" w:type="dxa"/>
              <w:right w:w="90" w:type="dxa"/>
            </w:tcMar>
            <w:shd w:fill="E7EDF3"/>
          </w:tcPr>
          <w:p>
            <w:pPr>
              <w:spacing w:after="20" w:before="20" w:line="240" w:lineRule="auto"/>
              <w:jc w:val="left"/>
            </w:pPr>
            <w:r>
              <w:rPr>
                <w:b/>
                <w:sz w:val="19"/>
              </w:rPr>
              <w:t xml:space="preserve">Mögliche alternative Erklärung</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Keine Rekonstruktion</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Zulässige Menge leer</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Falsche Modellklasse, Datenfehler oder falsches Randmodell</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Mehrdeutigkeit</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Durchmesser bleibt makroskopisch</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Unzureichende Observablen oder echte Nichtidentifizierbarkeit</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Instabilität</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Störmodul verschwindet nicht</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Schlecht konditioniertes inverses Problem</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Nichtkonvergenz</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Kontrollierte Folge besitzt keinen passenden Grenzpunkt</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Ungeeignete Skalierung oder Phasenwechsel</w:t>
            </w:r>
          </w:p>
        </w:tc>
      </w:tr>
    </w:tbl>
    <w:p>
      <w:pPr>
        <w:pStyle w:val="BodyText"/>
        <w:widowControl/>
      </w:pPr>
      <w:r>
        <w:t xml:space="preserve">Diese Diagnosen werden zunächst als</w:t>
      </w:r>
      <w:r>
        <w:t xml:space="preserve"> </w:t>
      </w:r>
      <w:r>
        <w:rPr>
          <w:bCs/>
          <w:b/>
        </w:rPr>
        <w:t xml:space="preserve">Rekonstruktionsdefekt</w:t>
      </w:r>
      <w:r>
        <w:t xml:space="preserve"> </w:t>
      </w:r>
      <w:r>
        <w:t xml:space="preserve">geführt. Ihre Deutung als Raumzeitsingularität ist eine weitere Hypothese. Relativistische Singularitätstheoreme beziehen sich auf geodätische Unvollständigkeit unter bestimmten Voraussetzungen; Krümmungsdivergenz und Fortsetzbarkeit sind davon zu unterscheiden. [13]</w:t>
      </w:r>
    </w:p>
    <w:p>
      <w:pPr>
        <w:pStyle w:val="BodyText"/>
        <w:widowControl/>
      </w:pPr>
      <w:r>
        <w:t xml:space="preserve">Eine singuläre klassische Geometrie könnte durch diskrete relationale Daten weiterhin stabil beschrieben sein. Umgekehrt kann eine reguläre Geometrie aufgrund ungeeigneter Daten schlecht rekonstruierbar sein. Es wird daher keine allgemeine Äquivalenz zwischen den beiden Begriffen postuliert.</w:t>
      </w:r>
    </w:p>
    <w:p>
      <w:pPr>
        <w:pStyle w:val="BodyText"/>
        <w:widowControl/>
      </w:pPr>
      <w:r>
        <w:t xml:space="preserve">Der erste S-Test vergleicht reguläre Kontrollfamilien, absichtlich informationsarme Messkanäle und Familien mit unabhängig bekannter geometrischer Grenzpathologie. Er variiert Rauschen, Systemgrösse, Kandidatenklasse und Rekonstruktionsverfahren. Erst ein gegen diese Kontrollen robuster Zusammenhang rechtfertigt eine begrenzte geometrische Interpretation.</w:t>
      </w:r>
    </w:p>
    <w:p>
      <w:pPr>
        <w:pStyle w:val="BodyText"/>
        <w:widowControl/>
      </w:pPr>
      <w:r>
        <w:t xml:space="preserve">Ein Rückstand, der an einer Grenze seine Vorhersagefähigkeit behält, wäre ein wissenschaftlich interessanter Befund. Eine „Auflösung von Singularitäten“ verlangt zusätzlich eine begründete Fortsetzung, konsistente Dynamik und eine klare Messbedeutung.</w:t>
      </w:r>
    </w:p>
    <w:bookmarkEnd w:id="33"/>
    <w:bookmarkStart w:id="34" w:name="x6-als-unabhängige-analyseebene"/>
    <w:p>
      <w:pPr>
        <w:pStyle w:val="Heading1"/>
        <w:pageBreakBefore/>
        <w:widowControl/>
      </w:pPr>
      <w:r>
        <w:rPr>
          <w:color w:val="000000"/>
        </w:rPr>
        <w:t xml:space="preserve">14 X6 als unabhängige Analyseebene</w:t>
      </w:r>
    </w:p>
    <w:p>
      <w:pPr>
        <w:pStyle w:val="FirstParagraph"/>
        <w:widowControl/>
      </w:pPr>
      <w:r>
        <w:t xml:space="preserve">X6 erhält ein versioniertes Datenpaket und die ausdrücklich benannten Analyseoperatoren. Der Historiengenerator, die Wirkungsberechnung und der unabhängige Referenzprüfer bleiben logisch getrennt. Die Unabhängigkeit ist eine überprüfbare Eigenschaft der Implementierung und Datenführung, kein allein durch die Bezeichnung erreichter Zustand.</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4082"/>
        <w:gridCol w:w="3572"/>
      </w:tblGrid>
      <w:tr>
        <w:trPr>
          <w:tblHeader w:val="true"/>
          <w:cantSplit/>
        </w:trPr>
        <w:tc>
          <w:tcPr>
            <w:tcW w:type="dxa" w:w="1984"/>
            <w:vAlign w:val="center"/>
            <w:tcMar>
              <w:top w:w="80" w:type="dxa"/>
              <w:bottom w:w="80" w:type="dxa"/>
              <w:left w:w="90" w:type="dxa"/>
              <w:right w:w="90" w:type="dxa"/>
            </w:tcMar>
            <w:shd w:fill="E7EDF3"/>
          </w:tcPr>
          <w:p>
            <w:pPr>
              <w:spacing w:after="20" w:before="20" w:line="240" w:lineRule="auto"/>
              <w:jc w:val="left"/>
            </w:pPr>
            <w:r>
              <w:rPr>
                <w:b/>
                <w:sz w:val="19"/>
              </w:rPr>
              <w:t xml:space="preserve">Ebene</w:t>
            </w:r>
          </w:p>
        </w:tc>
        <w:tc>
          <w:tcPr>
            <w:tcW w:type="dxa" w:w="4082"/>
            <w:vAlign w:val="center"/>
            <w:tcMar>
              <w:top w:w="80" w:type="dxa"/>
              <w:bottom w:w="80" w:type="dxa"/>
              <w:left w:w="90" w:type="dxa"/>
              <w:right w:w="90" w:type="dxa"/>
            </w:tcMar>
            <w:shd w:fill="E7EDF3"/>
          </w:tcPr>
          <w:p>
            <w:pPr>
              <w:spacing w:after="20" w:before="20" w:line="240" w:lineRule="auto"/>
              <w:jc w:val="left"/>
            </w:pPr>
            <w:r>
              <w:rPr>
                <w:b/>
                <w:sz w:val="19"/>
              </w:rPr>
              <w:t xml:space="preserve">Verantwortlichkeit</w:t>
            </w:r>
          </w:p>
        </w:tc>
        <w:tc>
          <w:tcPr>
            <w:tcW w:type="dxa" w:w="3572"/>
            <w:vAlign w:val="center"/>
            <w:tcMar>
              <w:top w:w="80" w:type="dxa"/>
              <w:bottom w:w="80" w:type="dxa"/>
              <w:left w:w="90" w:type="dxa"/>
              <w:right w:w="90" w:type="dxa"/>
            </w:tcMar>
            <w:shd w:fill="E7EDF3"/>
          </w:tcPr>
          <w:p>
            <w:pPr>
              <w:spacing w:after="20" w:before="20" w:line="240" w:lineRule="auto"/>
              <w:jc w:val="left"/>
            </w:pPr>
            <w:r>
              <w:rPr>
                <w:b/>
                <w:sz w:val="19"/>
              </w:rPr>
              <w:t xml:space="preserve">Prüfausgabe</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Generator</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Ordnungen, Felder und Randbedingungen gemäss Vertrag</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Rohdaten und Stichprobenherkunft</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Dynamikkern</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Wirkung, Amplituden oder Dekohärenzfunktional</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Modellvorhersagen und Fehlerbudget</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Referenzprüfer</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Direkte Intervallzählung und unabhängige lineare Algebra</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Gegenwerte und Residuen</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X6</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Spektren, Sektoren, Moden, Korrelationen und Skalenvergleiche</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Analysewerte und Diagnosegrenzen</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Evidenzregister</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Verträge, Datenphasen und Status</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Nachvollziehbarer Entscheidungsbericht</w:t>
            </w:r>
          </w:p>
        </w:tc>
      </w:tr>
    </w:tbl>
    <w:p>
      <w:pPr>
        <w:pStyle w:val="BodyText"/>
        <w:widowControl/>
      </w:pPr>
      <w:r>
        <w:t xml:space="preserve">Der Export enthält mindestens Modell- und Vertragsversion, Ordnungsdarstellung,</w:t>
      </w:r>
      <w:r>
        <w:t xml:space="preserve"> </w:t>
      </w:r>
      <m:oMath>
        <m:r>
          <m:t>N</m:t>
        </m:r>
      </m:oMath>
      <w:r>
        <w:t xml:space="preserve">, Dichte- und Skalenkonvention, Randprofil, Zählmass, Wirkungsprofil, Operator-ID, Einheiten, Realisations-ID, Seedverfahren, Datenphase und Evidenzklasse. Rohdatenhash und Software-Commit binden die verwendeten Inhalte. Ein Hash allein beweist keine korrekte Rechnung oder rechtzeitige Präregistrierung.</w:t>
      </w:r>
    </w:p>
    <w:p>
      <w:pPr>
        <w:pStyle w:val="BodyText"/>
        <w:widowControl/>
      </w:pPr>
      <w:r>
        <w:t xml:space="preserve">Zugelassene Evidenzklassen sind</w:t>
      </w:r>
      <w:r>
        <w:t xml:space="preserve"> </w:t>
      </w:r>
      <w:r>
        <w:rPr>
          <w:bCs/>
          <w:b/>
        </w:rPr>
        <w:t xml:space="preserve">analytische Identität</w:t>
      </w:r>
      <w:r>
        <w:t xml:space="preserve">,</w:t>
      </w:r>
      <w:r>
        <w:t xml:space="preserve"> </w:t>
      </w:r>
      <w:r>
        <w:rPr>
          <w:bCs/>
          <w:b/>
        </w:rPr>
        <w:t xml:space="preserve">synthetische Softwarekontrolle</w:t>
      </w:r>
      <w:r>
        <w:t xml:space="preserve">,</w:t>
      </w:r>
      <w:r>
        <w:t xml:space="preserve"> </w:t>
      </w:r>
      <w:r>
        <w:rPr>
          <w:bCs/>
          <w:b/>
        </w:rPr>
        <w:t xml:space="preserve">numerische Modellstudie</w:t>
      </w:r>
      <w:r>
        <w:t xml:space="preserve"> </w:t>
      </w:r>
      <w:r>
        <w:t xml:space="preserve">und</w:t>
      </w:r>
      <w:r>
        <w:t xml:space="preserve"> </w:t>
      </w:r>
      <w:r>
        <w:rPr>
          <w:bCs/>
          <w:b/>
        </w:rPr>
        <w:t xml:space="preserve">physische Messung</w:t>
      </w:r>
      <w:r>
        <w:t xml:space="preserve">. Ein Befund behält seine Klasse über alle Exporte. Ein bestandener X6-Test hebt ein numerisches Modell nicht auf die Ebene physischer Evidenz.</w:t>
      </w:r>
    </w:p>
    <w:p>
      <w:pPr>
        <w:pStyle w:val="BodyText"/>
        <w:widowControl/>
      </w:pPr>
      <w:r>
        <w:t xml:space="preserve">Pflichtkontrollen umfassen Umbenennung, Ordnungsumkehr, bekannte Spektralkollisionen, entartete Eigenräume, isolierte Komponenten und Änderungen der numerischen Präzision. Fehlende Messgrössen werden als nicht gemessen oder nicht anwendbar gekennzeichnet und nicht mit null ersetzt.</w:t>
      </w:r>
    </w:p>
    <w:p>
      <w:pPr>
        <w:pStyle w:val="BodyText"/>
        <w:widowControl/>
      </w:pPr>
      <w:r>
        <w:t xml:space="preserve">Ein positiver Graph-Laplacian darf als X6-Analyseoperator dienen. Er wird dadurch weder zum physikalischen Hamiltonoperator noch zur lorentzischen Geometrie. Eine spektrale Wirkung darf als neuer Dynamikkandidat untersucht werden, muss dann jedoch eine eigene Modellkennung und Vergleichsläufe ohne diesen Zusatz erhalten.</w:t>
      </w:r>
    </w:p>
    <w:p>
      <w:pPr>
        <w:pStyle w:val="BodyText"/>
        <w:widowControl/>
      </w:pPr>
      <w:r>
        <w:t xml:space="preserve">Entdeckung und Bestätigung verwenden getrennte Realisationen. X6 darf in der Entdeckungsphase informative nächste Protokolle vorschlagen. Die abschliessende Gegenprüfung arbeitet mit eingefrorenen Vorhersagen. Daten, die eine Reparatur auslösen, dienen nicht zugleich als deren unabhängige Bestätigung.</w:t>
      </w:r>
    </w:p>
    <w:bookmarkEnd w:id="34"/>
    <w:bookmarkStart w:id="35" w:name="erste-prüfkampagne-cqg-0"/>
    <w:p>
      <w:pPr>
        <w:pStyle w:val="Heading1"/>
        <w:pageBreakBefore/>
        <w:widowControl/>
      </w:pPr>
      <w:r>
        <w:rPr>
          <w:color w:val="000000"/>
        </w:rPr>
        <w:t xml:space="preserve">15 Erste Prüfkampagne CQG 0</w:t>
      </w:r>
    </w:p>
    <w:p>
      <w:pPr>
        <w:pStyle w:val="FirstParagraph"/>
        <w:widowControl/>
      </w:pPr>
      <w:r>
        <w:t xml:space="preserve">CQG-0 qualifiziert den endlichen mathematischen Kern. Es ist keine Suche nach einer neuen physikalischen Signatur. Für jeden Test werden erwartetes Ergebnis und Fehlermodus vor der Implementierung festgelegt.</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4082"/>
        <w:gridCol w:w="3572"/>
      </w:tblGrid>
      <w:tr>
        <w:trPr>
          <w:tblHeader w:val="true"/>
          <w:cantSplit/>
        </w:trPr>
        <w:tc>
          <w:tcPr>
            <w:tcW w:type="dxa" w:w="1984"/>
            <w:vAlign w:val="center"/>
            <w:tcMar>
              <w:top w:w="80" w:type="dxa"/>
              <w:bottom w:w="80" w:type="dxa"/>
              <w:left w:w="90" w:type="dxa"/>
              <w:right w:w="90" w:type="dxa"/>
            </w:tcMar>
            <w:shd w:fill="E7EDF3"/>
          </w:tcPr>
          <w:p>
            <w:pPr>
              <w:spacing w:after="20" w:before="20" w:line="240" w:lineRule="auto"/>
              <w:jc w:val="left"/>
            </w:pPr>
            <w:r>
              <w:rPr>
                <w:b/>
                <w:sz w:val="19"/>
              </w:rPr>
              <w:t xml:space="preserve">Kennung</w:t>
            </w:r>
          </w:p>
        </w:tc>
        <w:tc>
          <w:tcPr>
            <w:tcW w:type="dxa" w:w="4082"/>
            <w:vAlign w:val="center"/>
            <w:tcMar>
              <w:top w:w="80" w:type="dxa"/>
              <w:bottom w:w="80" w:type="dxa"/>
              <w:left w:w="90" w:type="dxa"/>
              <w:right w:w="90" w:type="dxa"/>
            </w:tcMar>
            <w:shd w:fill="E7EDF3"/>
          </w:tcPr>
          <w:p>
            <w:pPr>
              <w:spacing w:after="20" w:before="20" w:line="240" w:lineRule="auto"/>
              <w:jc w:val="left"/>
            </w:pPr>
            <w:r>
              <w:rPr>
                <w:b/>
                <w:sz w:val="19"/>
              </w:rPr>
              <w:t xml:space="preserve">Testgegenstand</w:t>
            </w:r>
          </w:p>
        </w:tc>
        <w:tc>
          <w:tcPr>
            <w:tcW w:type="dxa" w:w="3572"/>
            <w:vAlign w:val="center"/>
            <w:tcMar>
              <w:top w:w="80" w:type="dxa"/>
              <w:bottom w:w="80" w:type="dxa"/>
              <w:left w:w="90" w:type="dxa"/>
              <w:right w:w="90" w:type="dxa"/>
            </w:tcMar>
            <w:shd w:fill="E7EDF3"/>
          </w:tcPr>
          <w:p>
            <w:pPr>
              <w:spacing w:after="20" w:before="20" w:line="240" w:lineRule="auto"/>
              <w:jc w:val="left"/>
            </w:pPr>
            <w:r>
              <w:rPr>
                <w:b/>
                <w:sz w:val="19"/>
              </w:rPr>
              <w:t xml:space="preserve">Abnahme</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CQG-01</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Strikte Ordnung und transitive Hülle</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Zyklen werden verworfen; unabhängige Hüllen stimmen exakt überein</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CQG-02</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Intervallzählung und BDG-Kern</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Ganzzahlige Referenzwerte der Tabelle unten exakt</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CQG-03</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Beschriftung und Zählmass</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Observablen invariant; Bahnformel samt Automorphismen exakt</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CQG-04</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Spektrale Gegenkontrolle</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V-Ordnung und Umkehrung kollidieren spektral und werden relational getrennt</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CQG-05</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Zweischichtensumme</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Vollständige kleine Summe stimmt mit der Produktformel überein</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CQG-06</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Dekohärenzfunktional</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Positivität, Normierung und grobe Beispielwahrscheinlichkeiten korrekt</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CQG-07</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Vergröberung</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Klassische Ausdünnung und deterministischer quantaler Pushforward erfüllen ihre jeweils eigene Identität</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CQG-08</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Replay und Datenvertrag</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Identische Eingaben reproduzieren identische exakte Ausgaben</w:t>
            </w:r>
          </w:p>
        </w:tc>
      </w:tr>
    </w:tbl>
    <w:p>
      <w:pPr>
        <w:pStyle w:val="BodyText"/>
        <w:widowControl/>
      </w:pPr>
      <w:r>
        <w:t xml:space="preserve">Die folgenden Werte sind aus den Definitionen direkt herleitbare Sollwerte, keine Ergebnisse einer ausgeführten CQG-Kampagne:</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494"/>
        <w:gridCol w:w="1191"/>
        <w:gridCol w:w="1191"/>
        <w:gridCol w:w="1191"/>
        <w:gridCol w:w="1191"/>
        <w:gridCol w:w="1191"/>
        <w:gridCol w:w="1191"/>
      </w:tblGrid>
      <w:tr>
        <w:trPr>
          <w:tblHeader w:val="true"/>
          <w:cantSplit/>
        </w:trPr>
        <w:tc>
          <w:tcPr>
            <w:tcW w:type="dxa" w:w="2494"/>
            <w:vAlign w:val="center"/>
            <w:tcMar>
              <w:top w:w="80" w:type="dxa"/>
              <w:bottom w:w="80" w:type="dxa"/>
              <w:left w:w="90" w:type="dxa"/>
              <w:right w:w="90" w:type="dxa"/>
            </w:tcMar>
            <w:shd w:fill="E7EDF3"/>
          </w:tcPr>
          <w:p>
            <w:pPr>
              <w:spacing w:after="20" w:before="20" w:line="240" w:lineRule="auto"/>
              <w:jc w:val="left"/>
            </w:pPr>
            <w:r>
              <w:rPr>
                <w:b/>
                <w:sz w:val="19"/>
              </w:rPr>
              <w:t xml:space="preserve">Ordnung</w:t>
            </w:r>
          </w:p>
        </w:tc>
        <w:tc>
          <w:tcPr>
            <w:tcW w:type="dxa" w:w="1191"/>
            <w:vAlign w:val="center"/>
            <w:tcMar>
              <w:top w:w="80" w:type="dxa"/>
              <w:bottom w:w="80" w:type="dxa"/>
              <w:left w:w="90" w:type="dxa"/>
              <w:right w:w="90" w:type="dxa"/>
            </w:tcMar>
            <w:shd w:fill="E7EDF3"/>
          </w:tcPr>
          <w:p>
            <w:pPr>
              <w:spacing w:after="20" w:before="20" w:line="240" w:lineRule="auto"/>
              <w:jc w:val="center"/>
            </w:pPr>
            <m:oMath>
              <m:r>
                <m:t>N</m:t>
              </m:r>
            </m:oMath>
          </w:p>
        </w:tc>
        <w:tc>
          <w:tcPr>
            <w:tcW w:type="dxa" w:w="1191"/>
            <w:vAlign w:val="center"/>
            <w:tcMar>
              <w:top w:w="80" w:type="dxa"/>
              <w:bottom w:w="80" w:type="dxa"/>
              <w:left w:w="90" w:type="dxa"/>
              <w:right w:w="90" w:type="dxa"/>
            </w:tcMar>
            <w:shd w:fill="E7EDF3"/>
          </w:tcPr>
          <w:p>
            <w:pPr>
              <w:spacing w:after="20" w:before="20" w:line="240" w:lineRule="auto"/>
              <w:jc w:val="center"/>
            </w:pPr>
            <m:oMath>
              <m:sSub>
                <m:e>
                  <m:r>
                    <m:t>N</m:t>
                  </m:r>
                </m:e>
                <m:sub>
                  <m:r>
                    <m:t>0</m:t>
                  </m:r>
                </m:sub>
              </m:sSub>
            </m:oMath>
          </w:p>
        </w:tc>
        <w:tc>
          <w:tcPr>
            <w:tcW w:type="dxa" w:w="1191"/>
            <w:vAlign w:val="center"/>
            <w:tcMar>
              <w:top w:w="80" w:type="dxa"/>
              <w:bottom w:w="80" w:type="dxa"/>
              <w:left w:w="90" w:type="dxa"/>
              <w:right w:w="90" w:type="dxa"/>
            </w:tcMar>
            <w:shd w:fill="E7EDF3"/>
          </w:tcPr>
          <w:p>
            <w:pPr>
              <w:spacing w:after="20" w:before="20" w:line="240" w:lineRule="auto"/>
              <w:jc w:val="center"/>
            </w:pPr>
            <m:oMath>
              <m:sSub>
                <m:e>
                  <m:r>
                    <m:t>N</m:t>
                  </m:r>
                </m:e>
                <m:sub>
                  <m:r>
                    <m:t>1</m:t>
                  </m:r>
                </m:sub>
              </m:sSub>
            </m:oMath>
          </w:p>
        </w:tc>
        <w:tc>
          <w:tcPr>
            <w:tcW w:type="dxa" w:w="1191"/>
            <w:vAlign w:val="center"/>
            <w:tcMar>
              <w:top w:w="80" w:type="dxa"/>
              <w:bottom w:w="80" w:type="dxa"/>
              <w:left w:w="90" w:type="dxa"/>
              <w:right w:w="90" w:type="dxa"/>
            </w:tcMar>
            <w:shd w:fill="E7EDF3"/>
          </w:tcPr>
          <w:p>
            <w:pPr>
              <w:spacing w:after="20" w:before="20" w:line="240" w:lineRule="auto"/>
              <w:jc w:val="center"/>
            </w:pPr>
            <m:oMath>
              <m:sSub>
                <m:e>
                  <m:r>
                    <m:t>N</m:t>
                  </m:r>
                </m:e>
                <m:sub>
                  <m:r>
                    <m:t>2</m:t>
                  </m:r>
                </m:sub>
              </m:sSub>
            </m:oMath>
          </w:p>
        </w:tc>
        <w:tc>
          <w:tcPr>
            <w:tcW w:type="dxa" w:w="1191"/>
            <w:vAlign w:val="center"/>
            <w:tcMar>
              <w:top w:w="80" w:type="dxa"/>
              <w:bottom w:w="80" w:type="dxa"/>
              <w:left w:w="90" w:type="dxa"/>
              <w:right w:w="90" w:type="dxa"/>
            </w:tcMar>
            <w:shd w:fill="E7EDF3"/>
          </w:tcPr>
          <w:p>
            <w:pPr>
              <w:spacing w:after="20" w:before="20" w:line="240" w:lineRule="auto"/>
              <w:jc w:val="center"/>
            </w:pPr>
            <m:oMath>
              <m:sSub>
                <m:e>
                  <m:r>
                    <m:t>N</m:t>
                  </m:r>
                </m:e>
                <m:sub>
                  <m:r>
                    <m:t>3</m:t>
                  </m:r>
                </m:sub>
              </m:sSub>
            </m:oMath>
          </w:p>
        </w:tc>
        <w:tc>
          <w:tcPr>
            <w:tcW w:type="dxa" w:w="1191"/>
            <w:vAlign w:val="center"/>
            <w:tcMar>
              <w:top w:w="80" w:type="dxa"/>
              <w:bottom w:w="80" w:type="dxa"/>
              <w:left w:w="90" w:type="dxa"/>
              <w:right w:w="90" w:type="dxa"/>
            </w:tcMar>
            <w:shd w:fill="E7EDF3"/>
          </w:tcPr>
          <w:p>
            <w:pPr>
              <w:spacing w:after="20" w:before="20" w:line="240" w:lineRule="auto"/>
              <w:jc w:val="center"/>
            </w:pPr>
            <m:oMath>
              <m:sSub>
                <m:e>
                  <m:r>
                    <m:t>I</m:t>
                  </m:r>
                </m:e>
                <m:sub>
                  <m:r>
                    <m:t>4</m:t>
                  </m:r>
                </m:sub>
              </m:sSub>
            </m:oMath>
          </w:p>
        </w:tc>
      </w:tr>
      <w:tr>
        <w:trPr>
          <w:cantSplit/>
        </w:trPr>
        <w:tc>
          <w:tcPr>
            <w:tcW w:type="dxa" w:w="2494"/>
            <w:vAlign w:val="center"/>
            <w:tcMar>
              <w:top w:w="80" w:type="dxa"/>
              <w:bottom w:w="80" w:type="dxa"/>
              <w:left w:w="90" w:type="dxa"/>
              <w:right w:w="90" w:type="dxa"/>
            </w:tcMar>
            <w:shd w:fill="FFFFFF"/>
          </w:tcPr>
          <w:p>
            <w:pPr>
              <w:spacing w:after="20" w:before="20" w:line="240" w:lineRule="auto"/>
              <w:jc w:val="left"/>
            </w:pPr>
            <w:r>
              <w:rPr>
                <w:sz w:val="19"/>
              </w:rPr>
              <w:t xml:space="preserve">Vierer-Antikette</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4</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4</w:t>
            </w:r>
          </w:p>
        </w:tc>
      </w:tr>
      <w:tr>
        <w:trPr>
          <w:cantSplit/>
        </w:trPr>
        <w:tc>
          <w:tcPr>
            <w:tcW w:type="dxa" w:w="2494"/>
            <w:vAlign w:val="center"/>
            <w:tcMar>
              <w:top w:w="80" w:type="dxa"/>
              <w:bottom w:w="80" w:type="dxa"/>
              <w:left w:w="90" w:type="dxa"/>
              <w:right w:w="90" w:type="dxa"/>
            </w:tcMar>
            <w:shd w:fill="F7F8FA"/>
          </w:tcPr>
          <w:p>
            <w:pPr>
              <w:spacing w:after="20" w:before="20" w:line="240" w:lineRule="auto"/>
              <w:jc w:val="left"/>
            </w:pPr>
            <w:r>
              <w:rPr>
                <w:sz w:val="19"/>
              </w:rPr>
              <w:t xml:space="preserve">Viererkette</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4</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3</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2</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1</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3</w:t>
            </w:r>
          </w:p>
        </w:tc>
      </w:tr>
      <w:tr>
        <w:trPr>
          <w:cantSplit/>
        </w:trPr>
        <w:tc>
          <w:tcPr>
            <w:tcW w:type="dxa" w:w="2494"/>
            <w:vAlign w:val="center"/>
            <w:tcMar>
              <w:top w:w="80" w:type="dxa"/>
              <w:bottom w:w="80" w:type="dxa"/>
              <w:left w:w="90" w:type="dxa"/>
              <w:right w:w="90" w:type="dxa"/>
            </w:tcMar>
            <w:shd w:fill="FFFFFF"/>
          </w:tcPr>
          <w:p>
            <w:pPr>
              <w:spacing w:after="20" w:before="20" w:line="240" w:lineRule="auto"/>
              <w:jc w:val="left"/>
            </w:pPr>
            <w:r>
              <w:rPr>
                <w:sz w:val="19"/>
              </w:rPr>
              <w:t xml:space="preserve">Viererdiamant</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4</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4</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1</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−16</w:t>
            </w:r>
          </w:p>
        </w:tc>
      </w:tr>
      <w:tr>
        <w:trPr>
          <w:cantSplit/>
        </w:trPr>
        <w:tc>
          <w:tcPr>
            <w:tcW w:type="dxa" w:w="2494"/>
            <w:vAlign w:val="center"/>
            <w:tcMar>
              <w:top w:w="80" w:type="dxa"/>
              <w:bottom w:w="80" w:type="dxa"/>
              <w:left w:w="90" w:type="dxa"/>
              <w:right w:w="90" w:type="dxa"/>
            </w:tcMar>
            <w:shd w:fill="F7F8FA"/>
          </w:tcPr>
          <w:p>
            <w:pPr>
              <w:spacing w:after="20" w:before="20" w:line="240" w:lineRule="auto"/>
              <w:jc w:val="left"/>
            </w:pPr>
            <w:r>
              <w:rPr>
                <w:sz w:val="19"/>
              </w:rPr>
              <w:t xml:space="preserve">V-Ordnung</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3</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2</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7F8FA"/>
          </w:tcPr>
          <w:p>
            <w:pPr>
              <w:spacing w:after="20" w:before="20" w:line="240" w:lineRule="auto"/>
              <w:jc w:val="center"/>
            </w:pPr>
            <w:r>
              <w:rPr>
                <w:sz w:val="19"/>
              </w:rPr>
              <w:t xml:space="preserve">1</w:t>
            </w:r>
          </w:p>
        </w:tc>
      </w:tr>
      <w:tr>
        <w:trPr>
          <w:cantSplit/>
        </w:trPr>
        <w:tc>
          <w:tcPr>
            <w:tcW w:type="dxa" w:w="2494"/>
            <w:vAlign w:val="center"/>
            <w:tcMar>
              <w:top w:w="80" w:type="dxa"/>
              <w:bottom w:w="80" w:type="dxa"/>
              <w:left w:w="90" w:type="dxa"/>
              <w:right w:w="90" w:type="dxa"/>
            </w:tcMar>
            <w:shd w:fill="FFFFFF"/>
          </w:tcPr>
          <w:p>
            <w:pPr>
              <w:spacing w:after="20" w:before="20" w:line="240" w:lineRule="auto"/>
              <w:jc w:val="left"/>
            </w:pPr>
            <w:r>
              <w:rPr>
                <w:sz w:val="19"/>
              </w:rPr>
              <w:t xml:space="preserve">Umgekehrte V-Ordnung</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3</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2</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0</w:t>
            </w:r>
          </w:p>
        </w:tc>
        <w:tc>
          <w:tcPr>
            <w:tcW w:type="dxa" w:w="1191"/>
            <w:vAlign w:val="center"/>
            <w:tcMar>
              <w:top w:w="80" w:type="dxa"/>
              <w:bottom w:w="80" w:type="dxa"/>
              <w:left w:w="90" w:type="dxa"/>
              <w:right w:w="90" w:type="dxa"/>
            </w:tcMar>
            <w:shd w:fill="FFFFFF"/>
          </w:tcPr>
          <w:p>
            <w:pPr>
              <w:spacing w:after="20" w:before="20" w:line="240" w:lineRule="auto"/>
              <w:jc w:val="center"/>
            </w:pPr>
            <w:r>
              <w:rPr>
                <w:sz w:val="19"/>
              </w:rPr>
              <w:t xml:space="preserve">1</w:t>
            </w:r>
          </w:p>
        </w:tc>
      </w:tr>
    </w:tbl>
    <w:p>
      <w:pPr>
        <w:pStyle w:val="BodyText"/>
        <w:widowControl/>
      </w:pPr>
      <w:r>
        <w:t xml:space="preserve">Der Viererdiamant hat eine untere Spitze, zwei unvergleichbare Mittelelemente und eine obere Spitze. Sein einziges Intervall mit zwei inneren Elementen erklärt den negativen Kernwert. Eine Wirkung muss hier weder nichtnegativ noch eine Energiefunktion sein.</w:t>
      </w:r>
    </w:p>
    <w:p>
      <w:pPr>
        <w:pStyle w:val="BodyText"/>
        <w:widowControl/>
      </w:pPr>
      <w:r>
        <w:t xml:space="preserve">Die Spektralkontrolle benutzt exakte charakteristische Polynome, wo möglich. Gleitkommarechnungen benötigen eine vorab deklarierte Kombination aus absoluter und relativer Toleranz sowie Residuen. Der bestehende X6-Status wird nicht automatisch auf einen neuen CQG-Adapter übertragen.</w:t>
      </w:r>
    </w:p>
    <w:p>
      <w:pPr>
        <w:pStyle w:val="BodyText"/>
        <w:widowControl/>
      </w:pPr>
      <w:r>
        <w:t xml:space="preserve">Status dieser Fassung:</w:t>
      </w:r>
      <w:r>
        <w:t xml:space="preserve"> </w:t>
      </w:r>
      <w:r>
        <w:rPr>
          <w:bCs/>
          <w:b/>
        </w:rPr>
        <w:t xml:space="preserve">CQG-0 spezifiziert, nicht ausgeführt</w:t>
      </w:r>
      <w:r>
        <w:t xml:space="preserve">. Die nächste Umsetzung ist klein genug für einen transparenten Referenzkern mit anschliessender unabhängiger Gegenprüfung.</w:t>
      </w:r>
    </w:p>
    <w:bookmarkEnd w:id="35"/>
    <w:bookmarkStart w:id="36" w:name="forschungsfolge-und-entscheidungspunkte"/>
    <w:p>
      <w:pPr>
        <w:pStyle w:val="Heading1"/>
        <w:pageBreakBefore/>
        <w:widowControl/>
      </w:pPr>
      <w:r>
        <w:rPr>
          <w:color w:val="000000"/>
        </w:rPr>
        <w:t xml:space="preserve">16 Forschungsfolge und Entscheidungspunkte</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4082"/>
        <w:gridCol w:w="3572"/>
      </w:tblGrid>
      <w:tr>
        <w:trPr>
          <w:tblHeader w:val="true"/>
          <w:cantSplit/>
        </w:trPr>
        <w:tc>
          <w:tcPr>
            <w:tcW w:type="dxa" w:w="1984"/>
            <w:vAlign w:val="center"/>
            <w:tcMar>
              <w:top w:w="80" w:type="dxa"/>
              <w:bottom w:w="80" w:type="dxa"/>
              <w:left w:w="90" w:type="dxa"/>
              <w:right w:w="90" w:type="dxa"/>
            </w:tcMar>
            <w:shd w:fill="E7EDF3"/>
          </w:tcPr>
          <w:p>
            <w:pPr>
              <w:spacing w:after="20" w:before="20" w:line="240" w:lineRule="auto"/>
              <w:jc w:val="left"/>
            </w:pPr>
            <w:r>
              <w:rPr>
                <w:b/>
                <w:sz w:val="19"/>
              </w:rPr>
              <w:t xml:space="preserve">Stufe</w:t>
            </w:r>
          </w:p>
        </w:tc>
        <w:tc>
          <w:tcPr>
            <w:tcW w:type="dxa" w:w="4082"/>
            <w:vAlign w:val="center"/>
            <w:tcMar>
              <w:top w:w="80" w:type="dxa"/>
              <w:bottom w:w="80" w:type="dxa"/>
              <w:left w:w="90" w:type="dxa"/>
              <w:right w:w="90" w:type="dxa"/>
            </w:tcMar>
            <w:shd w:fill="E7EDF3"/>
          </w:tcPr>
          <w:p>
            <w:pPr>
              <w:spacing w:after="20" w:before="20" w:line="240" w:lineRule="auto"/>
              <w:jc w:val="left"/>
            </w:pPr>
            <w:r>
              <w:rPr>
                <w:b/>
                <w:sz w:val="19"/>
              </w:rPr>
              <w:t xml:space="preserve">Konkretes Ziel</w:t>
            </w:r>
          </w:p>
        </w:tc>
        <w:tc>
          <w:tcPr>
            <w:tcW w:type="dxa" w:w="3572"/>
            <w:vAlign w:val="center"/>
            <w:tcMar>
              <w:top w:w="80" w:type="dxa"/>
              <w:bottom w:w="80" w:type="dxa"/>
              <w:left w:w="90" w:type="dxa"/>
              <w:right w:w="90" w:type="dxa"/>
            </w:tcMar>
            <w:shd w:fill="E7EDF3"/>
          </w:tcPr>
          <w:p>
            <w:pPr>
              <w:spacing w:after="20" w:before="20" w:line="240" w:lineRule="auto"/>
              <w:jc w:val="left"/>
            </w:pPr>
            <w:r>
              <w:rPr>
                <w:b/>
                <w:sz w:val="19"/>
              </w:rPr>
              <w:t xml:space="preserve">Grenze eines erfolgreichen Ergebnisses</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CQG-0</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Endlicher Kern und Gegenkontrollen</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Korrekte Software und Identitäten</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CQG-1</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Bekannte Sprinklings rekonstruieren</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Kalibrierte Geometrieanalyse auf vorgegebenen Referenzen</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CQG-2</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Sektorsummen und Phasenauslöschung</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Begrenzte Aussagen im deklarierten Ensemble</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CQG-3</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Physikalisch begründete Rand- und Quantaldynamik</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Konsistente endliche Quantenmodellklasse</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CQG-4</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Vergröberung und Vorhersagedestillation</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Nichttriviale effektive Beschreibung im geprüften Bereich</w:t>
            </w:r>
          </w:p>
        </w:tc>
      </w:tr>
      <w:tr>
        <w:trPr>
          <w:cantSplit/>
        </w:trPr>
        <w:tc>
          <w:tcPr>
            <w:tcW w:type="dxa" w:w="1984"/>
            <w:vAlign w:val="center"/>
            <w:tcMar>
              <w:top w:w="80" w:type="dxa"/>
              <w:bottom w:w="80" w:type="dxa"/>
              <w:left w:w="90" w:type="dxa"/>
              <w:right w:w="90" w:type="dxa"/>
            </w:tcMar>
            <w:shd w:fill="F7F8FA"/>
          </w:tcPr>
          <w:p>
            <w:pPr>
              <w:spacing w:after="20" w:before="20" w:line="240" w:lineRule="auto"/>
              <w:jc w:val="left"/>
            </w:pPr>
            <w:r>
              <w:rPr>
                <w:sz w:val="19"/>
              </w:rPr>
              <w:t xml:space="preserve">CQG-5</w:t>
            </w:r>
          </w:p>
        </w:tc>
        <w:tc>
          <w:tcPr>
            <w:tcW w:type="dxa" w:w="4082"/>
            <w:vAlign w:val="center"/>
            <w:tcMar>
              <w:top w:w="80" w:type="dxa"/>
              <w:bottom w:w="80" w:type="dxa"/>
              <w:left w:w="90" w:type="dxa"/>
              <w:right w:w="90" w:type="dxa"/>
            </w:tcMar>
            <w:shd w:fill="F7F8FA"/>
          </w:tcPr>
          <w:p>
            <w:pPr>
              <w:spacing w:after="20" w:before="20" w:line="240" w:lineRule="auto"/>
              <w:jc w:val="left"/>
            </w:pPr>
            <w:r>
              <w:rPr>
                <w:sz w:val="19"/>
              </w:rPr>
              <w:t xml:space="preserve">Dynamische Hauptvermutung prüfen</w:t>
            </w:r>
          </w:p>
        </w:tc>
        <w:tc>
          <w:tcPr>
            <w:tcW w:type="dxa" w:w="3572"/>
            <w:vAlign w:val="center"/>
            <w:tcMar>
              <w:top w:w="80" w:type="dxa"/>
              <w:bottom w:w="80" w:type="dxa"/>
              <w:left w:w="90" w:type="dxa"/>
              <w:right w:w="90" w:type="dxa"/>
            </w:tcMar>
            <w:shd w:fill="F7F8FA"/>
          </w:tcPr>
          <w:p>
            <w:pPr>
              <w:spacing w:after="20" w:before="20" w:line="240" w:lineRule="auto"/>
              <w:jc w:val="left"/>
            </w:pPr>
            <w:r>
              <w:rPr>
                <w:sz w:val="19"/>
              </w:rPr>
              <w:t xml:space="preserve">Geometrische Auswahl und Rekonstruktion unter genannten Voraussetzungen</w:t>
            </w:r>
          </w:p>
        </w:tc>
      </w:tr>
      <w:tr>
        <w:trPr>
          <w:cantSplit/>
        </w:trPr>
        <w:tc>
          <w:tcPr>
            <w:tcW w:type="dxa" w:w="1984"/>
            <w:vAlign w:val="center"/>
            <w:tcMar>
              <w:top w:w="80" w:type="dxa"/>
              <w:bottom w:w="80" w:type="dxa"/>
              <w:left w:w="90" w:type="dxa"/>
              <w:right w:w="90" w:type="dxa"/>
            </w:tcMar>
            <w:shd w:fill="FFFFFF"/>
          </w:tcPr>
          <w:p>
            <w:pPr>
              <w:spacing w:after="20" w:before="20" w:line="240" w:lineRule="auto"/>
              <w:jc w:val="left"/>
            </w:pPr>
            <w:r>
              <w:rPr>
                <w:sz w:val="19"/>
              </w:rPr>
              <w:t xml:space="preserve">CQG-6</w:t>
            </w:r>
          </w:p>
        </w:tc>
        <w:tc>
          <w:tcPr>
            <w:tcW w:type="dxa" w:w="4082"/>
            <w:vAlign w:val="center"/>
            <w:tcMar>
              <w:top w:w="80" w:type="dxa"/>
              <w:bottom w:w="80" w:type="dxa"/>
              <w:left w:w="90" w:type="dxa"/>
              <w:right w:w="90" w:type="dxa"/>
            </w:tcMar>
            <w:shd w:fill="FFFFFF"/>
          </w:tcPr>
          <w:p>
            <w:pPr>
              <w:spacing w:after="20" w:before="20" w:line="240" w:lineRule="auto"/>
              <w:jc w:val="left"/>
            </w:pPr>
            <w:r>
              <w:rPr>
                <w:sz w:val="19"/>
              </w:rPr>
              <w:t xml:space="preserve">Materie, Einstein-Grenze und Singularitätsdiagnostik</w:t>
            </w:r>
          </w:p>
        </w:tc>
        <w:tc>
          <w:tcPr>
            <w:tcW w:type="dxa" w:w="3572"/>
            <w:vAlign w:val="center"/>
            <w:tcMar>
              <w:top w:w="80" w:type="dxa"/>
              <w:bottom w:w="80" w:type="dxa"/>
              <w:left w:w="90" w:type="dxa"/>
              <w:right w:w="90" w:type="dxa"/>
            </w:tcMar>
            <w:shd w:fill="FFFFFF"/>
          </w:tcPr>
          <w:p>
            <w:pPr>
              <w:spacing w:after="20" w:before="20" w:line="240" w:lineRule="auto"/>
              <w:jc w:val="left"/>
            </w:pPr>
            <w:r>
              <w:rPr>
                <w:sz w:val="19"/>
              </w:rPr>
              <w:t xml:space="preserve">Getrennte theoretische und numerische Resultate</w:t>
            </w:r>
          </w:p>
        </w:tc>
      </w:tr>
    </w:tbl>
    <w:p>
      <w:pPr>
        <w:pStyle w:val="BodyText"/>
        <w:widowControl/>
      </w:pPr>
      <w:r>
        <w:t xml:space="preserve">CQG-1 und CQG-2 können nach CQG-0 unabhängig bearbeitet werden. CQG-5 benötigt sowohl Rekonstruktionskontrolle als auch eine passende Dynamik. Quantale Aussagen aus CQG-4 benötigen CQG-3; klassische Reduktionskontrollen können früher stattfinden. Aussagen über physische Anwendbarkeit benötigen darüber hinaus Messmodelle und Daten.</w:t>
      </w:r>
    </w:p>
    <w:p>
      <w:pPr>
        <w:pStyle w:val="BodyText"/>
        <w:widowControl/>
      </w:pPr>
      <w:r>
        <w:t xml:space="preserve">Vor einem statistischen Bestätigungslauf werden Stichprobenzahl, unabhängige Realisationseinheit, Toleranzen, Testfamilie, gemeinsames Fehlerbudget und Stopregel registriert. Effektgrössen aus der Entwicklung dürfen die Planung bestimmen; die Bestätigungsdaten dürfen es nicht. Bis diese Angaben vollständig sind, bleibt das betreffende statistische Gate</w:t>
      </w:r>
      <w:r>
        <w:t xml:space="preserve"> </w:t>
      </w:r>
      <w:r>
        <w:rPr>
          <w:bCs/>
          <w:b/>
        </w:rPr>
        <w:t xml:space="preserve">NOT_READY</w:t>
      </w:r>
      <w:r>
        <w:t xml:space="preserve">.</w:t>
      </w:r>
    </w:p>
    <w:p>
      <w:pPr>
        <w:pStyle w:val="BodyText"/>
        <w:widowControl/>
      </w:pPr>
      <w:r>
        <w:t xml:space="preserve">Entscheidungen lauten</w:t>
      </w:r>
      <w:r>
        <w:t xml:space="preserve"> </w:t>
      </w:r>
      <w:r>
        <w:rPr>
          <w:bCs/>
          <w:b/>
        </w:rPr>
        <w:t xml:space="preserve">SUPPORTED</w:t>
      </w:r>
      <w:r>
        <w:t xml:space="preserve">,</w:t>
      </w:r>
      <w:r>
        <w:t xml:space="preserve"> </w:t>
      </w:r>
      <w:r>
        <w:rPr>
          <w:bCs/>
          <w:b/>
        </w:rPr>
        <w:t xml:space="preserve">REJECTED</w:t>
      </w:r>
      <w:r>
        <w:t xml:space="preserve">,</w:t>
      </w:r>
      <w:r>
        <w:t xml:space="preserve"> </w:t>
      </w:r>
      <w:r>
        <w:rPr>
          <w:bCs/>
          <w:b/>
        </w:rPr>
        <w:t xml:space="preserve">INCONCLUSIVE</w:t>
      </w:r>
      <w:r>
        <w:t xml:space="preserve"> </w:t>
      </w:r>
      <w:r>
        <w:t xml:space="preserve">oder</w:t>
      </w:r>
      <w:r>
        <w:t xml:space="preserve"> </w:t>
      </w:r>
      <w:r>
        <w:rPr>
          <w:bCs/>
          <w:b/>
        </w:rPr>
        <w:t xml:space="preserve">INVALID</w:t>
      </w:r>
      <w:r>
        <w:t xml:space="preserve">, jeweils mit genau benanntem Geltungsbereich. Ein Ressourcenabbruch erzeugt fehlende Evidenz. Ein schlechter Mischungsdiagnostikwert oder ein unkontrolliertes Vorzeichenproblem verhindert eine positive asymptotische Schlussfolgerung.</w:t>
      </w:r>
    </w:p>
    <w:p>
      <w:pPr>
        <w:pStyle w:val="BodyText"/>
        <w:widowControl/>
      </w:pPr>
      <w:r>
        <w:t xml:space="preserve">Die verbindlichen offenen Hauptprobleme sind die Auswahl des Historienmasses, physikalisch begründete Randvektoren beziehungsweise Klassenoperatoren, konsistente unendliche Erweiterung, ein kontrolliertes nichtperturbatives Quantenregime, geometrische Stabilität und die Herleitung effektiver Feldgleichungen. Kein dieser Probleme wird durch einen Definitionsnamen als gelöst behandelt.</w:t>
      </w:r>
    </w:p>
    <w:p>
      <w:pPr>
        <w:pStyle w:val="BodyText"/>
        <w:widowControl/>
      </w:pPr>
      <w:r>
        <w:rPr>
          <w:bCs/>
          <w:b/>
        </w:rPr>
        <w:t xml:space="preserve">Arbeitsentscheidung für v0.1:</w:t>
      </w:r>
      <w:r>
        <w:t xml:space="preserve"> </w:t>
      </w:r>
      <w:r>
        <w:t xml:space="preserve">Zuerst wird der reine endliche Kern ohne zusätzlichen spektralen Strafterm aufgebaut. Danach folgen bekannte Geometrien als blinde Kontrollaufgabe und explizite Sektorvergleiche. Erst auf dieser Grundlage wird die dynamische Rekonstruktionshypothese quantitativ geprüft. Das breite Programm bleibt erhalten, während jeder Schluss einen überprüfbaren Eingang und eine klar begrenzte Bedeutung erhält.</w:t>
      </w:r>
    </w:p>
    <w:bookmarkEnd w:id="36"/>
    <w:bookmarkStart w:id="46" w:name="quellen-und-herkunft"/>
    <w:p>
      <w:pPr>
        <w:pStyle w:val="Heading1"/>
        <w:pageBreakBefore/>
        <w:widowControl/>
      </w:pPr>
      <w:r>
        <w:rPr>
          <w:color w:val="000000"/>
        </w:rPr>
        <w:t xml:space="preserve">17 Quellen und Herkunft</w:t>
      </w:r>
    </w:p>
    <w:p>
      <w:pPr>
        <w:pStyle w:val="FirstParagraph"/>
        <w:widowControl/>
      </w:pPr>
      <w:r>
        <w:t xml:space="preserve">Die folgenden Quellen begründen die übernommenen Anschlussstellen. Die RAX-CQG-spezifischen Verträge, Diagnosebegriffe und die dynamische Fassung DH sind Vorschläge dieser Architektur. Ihre Neuheit gegenüber der gesamten Fachliteratur wird nicht behauptet. Recherche und Fassungsstand: 16. Oktober 2026.</w:t>
      </w:r>
    </w:p>
    <w:p>
      <w:pPr>
        <w:pStyle w:val="BodyText"/>
        <w:widowControl/>
      </w:pPr>
      <w:r>
        <w:rPr>
          <w:bCs/>
          <w:b/>
        </w:rPr>
        <w:t xml:space="preserve">[1] Benincasa und Dowker.</w:t>
      </w:r>
      <w:r>
        <w:t xml:space="preserve"> </w:t>
      </w:r>
      <w:r>
        <w:t xml:space="preserve">The Scalar Curvature of a Causal Set. Physical Review Letters 104, 181301 (2010). Verwendet wird die korrigierte arXiv-Fassung v4 von 2011; der Eintrag weist auf einen Druckfehler in der veröffentlichten Fassung hin.</w:t>
      </w:r>
      <w:r>
        <w:t xml:space="preserve"> </w:t>
      </w:r>
      <w:hyperlink r:id="rId37">
        <w:r>
          <w:rPr>
            <w:rStyle w:val="Hyperlink"/>
          </w:rPr>
          <w:t xml:space="preserve">https://arxiv.org/abs/1001.2725v4</w:t>
        </w:r>
      </w:hyperlink>
    </w:p>
    <w:p>
      <w:pPr>
        <w:pStyle w:val="BodyText"/>
        <w:widowControl/>
      </w:pPr>
      <w:r>
        <w:rPr>
          <w:bCs/>
          <w:b/>
        </w:rPr>
        <w:t xml:space="preserve">[2] Dowker und Glaser.</w:t>
      </w:r>
      <w:r>
        <w:t xml:space="preserve"> </w:t>
      </w:r>
      <w:r>
        <w:t xml:space="preserve">Causal set d’Alembertians for various dimensions. Classical and Quantum Gravity 30, 195016 (2013), arXiv v2. Quelle der hier fixierten Operator-, Intervall- und rationalisierten Plancklängenkonvention.</w:t>
      </w:r>
      <w:r>
        <w:t xml:space="preserve"> </w:t>
      </w:r>
      <w:hyperlink r:id="rId38">
        <w:r>
          <w:rPr>
            <w:rStyle w:val="Hyperlink"/>
          </w:rPr>
          <w:t xml:space="preserve">https://arxiv.org/abs/1305.2588v2</w:t>
        </w:r>
      </w:hyperlink>
    </w:p>
    <w:p>
      <w:pPr>
        <w:pStyle w:val="BodyText"/>
        <w:widowControl/>
      </w:pPr>
      <w:r>
        <w:rPr>
          <w:bCs/>
          <w:b/>
        </w:rPr>
        <w:t xml:space="preserve">[3] Dowker.</w:t>
      </w:r>
      <w:r>
        <w:t xml:space="preserve"> </w:t>
      </w:r>
      <w:r>
        <w:t xml:space="preserve">Boundary contributions in the causal set action. Classical and Quantum Gravity 38, 075018 (2021). Evidenz und Beispiele zu Randbeiträgen; kein pauschaler Satz über jede endliche Region.</w:t>
      </w:r>
      <w:r>
        <w:t xml:space="preserve"> </w:t>
      </w:r>
      <w:hyperlink r:id="rId39">
        <w:r>
          <w:rPr>
            <w:rStyle w:val="Hyperlink"/>
          </w:rPr>
          <w:t xml:space="preserve">https://arxiv.org/abs/2007.13206</w:t>
        </w:r>
      </w:hyperlink>
    </w:p>
    <w:p>
      <w:pPr>
        <w:pStyle w:val="BodyText"/>
        <w:widowControl/>
      </w:pPr>
      <w:r>
        <w:rPr>
          <w:bCs/>
          <w:b/>
        </w:rPr>
        <w:t xml:space="preserve">[4] Sorkin.</w:t>
      </w:r>
      <w:r>
        <w:t xml:space="preserve"> </w:t>
      </w:r>
      <w:r>
        <w:t xml:space="preserve">Toward a fundamental theorem of quantal measure theory. Mathematical Structures in Computer Science (online 2012). Behandelt das Erweiterungsproblem quantaler Masse, unter anderem für Causal-Set-Wachstum.</w:t>
      </w:r>
      <w:r>
        <w:t xml:space="preserve"> </w:t>
      </w:r>
      <w:hyperlink r:id="rId40">
        <w:r>
          <w:rPr>
            <w:rStyle w:val="Hyperlink"/>
          </w:rPr>
          <w:t xml:space="preserve">Verlagsseite</w:t>
        </w:r>
      </w:hyperlink>
      <w:r>
        <w:t xml:space="preserve">.</w:t>
      </w:r>
    </w:p>
    <w:p>
      <w:pPr>
        <w:pStyle w:val="BodyText"/>
        <w:widowControl/>
      </w:pPr>
      <w:r>
        <w:rPr>
          <w:bCs/>
          <w:b/>
        </w:rPr>
        <w:t xml:space="preserve">[5] Sorkin.</w:t>
      </w:r>
      <w:r>
        <w:t xml:space="preserve"> </w:t>
      </w:r>
      <w:r>
        <w:t xml:space="preserve">Quantum Mechanics as Quantum Measure Theory. Modern Physics Letters A 9, 3119–3128 (1994).</w:t>
      </w:r>
      <w:r>
        <w:t xml:space="preserve"> </w:t>
      </w:r>
      <w:hyperlink r:id="rId41">
        <w:r>
          <w:rPr>
            <w:rStyle w:val="Hyperlink"/>
          </w:rPr>
          <w:t xml:space="preserve">https://arxiv.org/abs/gr-qc/9401003</w:t>
        </w:r>
      </w:hyperlink>
    </w:p>
    <w:p>
      <w:pPr>
        <w:pStyle w:val="BodyText"/>
        <w:widowControl/>
      </w:pPr>
      <w:r>
        <w:rPr>
          <w:bCs/>
          <w:b/>
        </w:rPr>
        <w:t xml:space="preserve">[6] Bell.</w:t>
      </w:r>
      <w:r>
        <w:t xml:space="preserve"> </w:t>
      </w:r>
      <w:r>
        <w:t xml:space="preserve">On the Einstein Podolsky Rosen paradox. Physics Physique Fizika 1, 195–200 (1964). Grundlage des Lokalitätsvorbehalts; die CHSH-Form wird hier als elementare Folgerung der angegebenen faktorisierenden Wahrscheinlichkeitsform verwendet.</w:t>
      </w:r>
      <w:r>
        <w:t xml:space="preserve"> </w:t>
      </w:r>
      <w:hyperlink r:id="rId42">
        <w:r>
          <w:rPr>
            <w:rStyle w:val="Hyperlink"/>
          </w:rPr>
          <w:t xml:space="preserve">https://doi.org/10.1103/PhysicsPhysiqueFizika.1.195</w:t>
        </w:r>
      </w:hyperlink>
    </w:p>
    <w:p>
      <w:pPr>
        <w:pStyle w:val="BodyText"/>
        <w:widowControl/>
      </w:pPr>
      <w:r>
        <w:rPr>
          <w:bCs/>
          <w:b/>
        </w:rPr>
        <w:t xml:space="preserve">[7] Johnston.</w:t>
      </w:r>
      <w:r>
        <w:t xml:space="preserve"> </w:t>
      </w:r>
      <w:r>
        <w:t xml:space="preserve">Feynman Propagator for a Free Scalar Field on a Causal Set. Physical Review Letters 103, 180401 (2009). Anschluss für Feldkommutator und Zustandskonstruktion auf vorgegebenem Causal Set.</w:t>
      </w:r>
      <w:r>
        <w:t xml:space="preserve"> </w:t>
      </w:r>
      <w:hyperlink r:id="rId43">
        <w:r>
          <w:rPr>
            <w:rStyle w:val="Hyperlink"/>
          </w:rPr>
          <w:t xml:space="preserve">https://arxiv.org/abs/0909.0944</w:t>
        </w:r>
      </w:hyperlink>
    </w:p>
    <w:p>
      <w:pPr>
        <w:pStyle w:val="BodyText"/>
        <w:widowControl/>
      </w:pPr>
      <w:r>
        <w:rPr>
          <w:bCs/>
          <w:b/>
        </w:rPr>
        <w:t xml:space="preserve">[8] P. Carlip, S. Carlip und Surya.</w:t>
      </w:r>
      <w:r>
        <w:t xml:space="preserve"> </w:t>
      </w:r>
      <w:r>
        <w:t xml:space="preserve">Path integral suppression of badly behaved causal sets. Classical and Quantum Gravity (2023), DOI 10.1088/1361-6382/acc50c.</w:t>
      </w:r>
      <w:r>
        <w:t xml:space="preserve"> </w:t>
      </w:r>
      <w:hyperlink r:id="rId44">
        <w:r>
          <w:rPr>
            <w:rStyle w:val="Hyperlink"/>
          </w:rPr>
          <w:t xml:space="preserve">https://arxiv.org/abs/2209.00327</w:t>
        </w:r>
      </w:hyperlink>
    </w:p>
    <w:p>
      <w:pPr>
        <w:pStyle w:val="BodyText"/>
        <w:widowControl/>
      </w:pPr>
      <w:r>
        <w:rPr>
          <w:bCs/>
          <w:b/>
        </w:rPr>
        <w:t xml:space="preserve">[9] P. Carlip, S. Carlip und Surya.</w:t>
      </w:r>
      <w:r>
        <w:t xml:space="preserve"> </w:t>
      </w:r>
      <w:r>
        <w:t xml:space="preserve">The Einstein-Hilbert Action for Entropically Dominant Causal Sets. Verwendete Fassung arXiv:2311.18238v2, 19. Juni 2024. Die Resultate betreffen die dort definierten geschichteten Klassen und Parameterannahmen.</w:t>
      </w:r>
      <w:r>
        <w:t xml:space="preserve"> </w:t>
      </w:r>
      <w:hyperlink r:id="rId45">
        <w:r>
          <w:rPr>
            <w:rStyle w:val="Hyperlink"/>
          </w:rPr>
          <w:t xml:space="preserve">https://arxiv.org/abs/2311.18238v2</w:t>
        </w:r>
      </w:hyperlink>
    </w:p>
    <w:bookmarkEnd w:id="46"/>
    <w:bookmarkStart w:id="51" w:name="quellen-und-statusregister"/>
    <w:p>
      <w:pPr>
        <w:pStyle w:val="Heading1"/>
        <w:pageBreakBefore/>
        <w:widowControl/>
      </w:pPr>
      <w:r>
        <w:rPr>
          <w:color w:val="000000"/>
        </w:rPr>
        <w:t xml:space="preserve">18 Quellen und Statusregister</w:t>
      </w:r>
    </w:p>
    <w:p>
      <w:pPr>
        <w:pStyle w:val="FirstParagraph"/>
        <w:widowControl/>
      </w:pPr>
      <w:r>
        <w:rPr>
          <w:bCs/>
          <w:b/>
        </w:rPr>
        <w:t xml:space="preserve">[10] Braun und Sämann.</w:t>
      </w:r>
      <w:r>
        <w:t xml:space="preserve"> </w:t>
      </w:r>
      <w:r>
        <w:t xml:space="preserve">Gromov’s reconstruction theorem and measured Gromov-Hausdorff convergence in Lorentzian geometry. arXiv:2506.10852 (2025). Liefert einen Anschluss für gemessene lorentzische Rekonstruktion und verschiedene Konvergenzbegriffe.</w:t>
      </w:r>
      <w:r>
        <w:t xml:space="preserve"> </w:t>
      </w:r>
      <w:hyperlink r:id="rId47">
        <w:r>
          <w:rPr>
            <w:rStyle w:val="Hyperlink"/>
          </w:rPr>
          <w:t xml:space="preserve">https://arxiv.org/abs/2506.10852</w:t>
        </w:r>
      </w:hyperlink>
    </w:p>
    <w:p>
      <w:pPr>
        <w:pStyle w:val="BodyText"/>
        <w:widowControl/>
      </w:pPr>
      <w:r>
        <w:rPr>
          <w:bCs/>
          <w:b/>
        </w:rPr>
        <w:t xml:space="preserve">[11] Mondino und Sämann.</w:t>
      </w:r>
      <w:r>
        <w:t xml:space="preserve"> </w:t>
      </w:r>
      <w:r>
        <w:t xml:space="preserve">Lorentzian Gromov-Hausdorff convergence and pre-compactness. arXiv:2504.10380 (2025). Anschluss für lorentzische Kompaktheitsbedingungen; die Bedingungen müssen für eine verwendete Klasse separat überprüft werden.</w:t>
      </w:r>
      <w:r>
        <w:t xml:space="preserve"> </w:t>
      </w:r>
      <w:hyperlink r:id="rId48">
        <w:r>
          <w:rPr>
            <w:rStyle w:val="Hyperlink"/>
          </w:rPr>
          <w:t xml:space="preserve">https://arxiv.org/abs/2504.10380</w:t>
        </w:r>
      </w:hyperlink>
    </w:p>
    <w:p>
      <w:pPr>
        <w:pStyle w:val="BodyText"/>
        <w:widowControl/>
      </w:pPr>
      <w:r>
        <w:rPr>
          <w:bCs/>
          <w:b/>
        </w:rPr>
        <w:t xml:space="preserve">[12] Braun.</w:t>
      </w:r>
      <w:r>
        <w:t xml:space="preserve"> </w:t>
      </w:r>
      <w:r>
        <w:t xml:space="preserve">Spacetime reconstruction by order and number. Verwendeter Volltext arXiv:2507.01907v1 (2025), insbesondere Theorem 1.4. Die in dieser Architektur genannte Identifizierbarkeit bezieht sich auf die vollständigen Stichprobengesetze und die Voraussetzungen dieses Satzes.</w:t>
      </w:r>
      <w:r>
        <w:t xml:space="preserve"> </w:t>
      </w:r>
      <w:hyperlink r:id="rId49">
        <w:r>
          <w:rPr>
            <w:rStyle w:val="Hyperlink"/>
          </w:rPr>
          <w:t xml:space="preserve">https://arxiv.org/abs/2507.01907v1</w:t>
        </w:r>
      </w:hyperlink>
    </w:p>
    <w:p>
      <w:pPr>
        <w:pStyle w:val="BodyText"/>
        <w:widowControl/>
      </w:pPr>
      <w:r>
        <w:rPr>
          <w:bCs/>
          <w:b/>
        </w:rPr>
        <w:t xml:space="preserve">[13] Senovilla.</w:t>
      </w:r>
      <w:r>
        <w:t xml:space="preserve"> </w:t>
      </w:r>
      <w:r>
        <w:t xml:space="preserve">A critical appraisal of the singularity theorems. Philosophical Transactions A 380, 20210174 (2022), Preprint 2021.</w:t>
      </w:r>
      <w:r>
        <w:t xml:space="preserve"> </w:t>
      </w:r>
      <w:hyperlink r:id="rId50">
        <w:r>
          <w:rPr>
            <w:rStyle w:val="Hyperlink"/>
          </w:rPr>
          <w:t xml:space="preserve">https://arxiv.org/abs/2108.07296</w:t>
        </w:r>
      </w:hyperlink>
    </w:p>
    <w:p>
      <w:pPr>
        <w:pStyle w:val="BodyText"/>
        <w:widowControl/>
      </w:pPr>
      <w:r>
        <w:rPr>
          <w:bCs/>
          <w:b/>
        </w:rPr>
        <w:t xml:space="preserve">Projektgrundlage.</w:t>
      </w:r>
      <w:r>
        <w:t xml:space="preserve"> </w:t>
      </w:r>
      <w:r>
        <w:t xml:space="preserve">RAX Relationales Forschungsprogramm, Version 0.1, 14. Oktober 2026, Projektinitiative Thomas Gfeller. Übernommen werden die Regeln für operationale Äquivalenz, prädiktive Reduktion, neutrale Kandidatenprüfung und getrennte Singularitätsdiagnosen. Diese Quelle ist ein eigenes Forschungsprogramm und keine externe Bestätigung seiner Hypothesen.</w:t>
      </w:r>
    </w:p>
    <w:tbl>
      <w:tblPr>
        <w:tblStyle w:val="TableGrid"/>
        <w:tblW w:type="dxa" w:w="9638"/>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381"/>
        <w:gridCol w:w="7257"/>
      </w:tblGrid>
      <w:tr>
        <w:trPr>
          <w:tblHeader w:val="true"/>
          <w:cantSplit/>
        </w:trPr>
        <w:tc>
          <w:tcPr>
            <w:tcW w:type="dxa" w:w="2381"/>
            <w:vAlign w:val="center"/>
            <w:tcMar>
              <w:top w:w="80" w:type="dxa"/>
              <w:bottom w:w="80" w:type="dxa"/>
              <w:left w:w="90" w:type="dxa"/>
              <w:right w:w="90" w:type="dxa"/>
            </w:tcMar>
            <w:shd w:fill="E7EDF3"/>
          </w:tcPr>
          <w:p>
            <w:pPr>
              <w:spacing w:after="20" w:before="20" w:line="240" w:lineRule="auto"/>
              <w:jc w:val="left"/>
            </w:pPr>
            <w:r>
              <w:rPr>
                <w:b/>
                <w:sz w:val="19"/>
              </w:rPr>
              <w:t xml:space="preserve">Aussage</w:t>
            </w:r>
          </w:p>
        </w:tc>
        <w:tc>
          <w:tcPr>
            <w:tcW w:type="dxa" w:w="7257"/>
            <w:vAlign w:val="center"/>
            <w:tcMar>
              <w:top w:w="80" w:type="dxa"/>
              <w:bottom w:w="80" w:type="dxa"/>
              <w:left w:w="90" w:type="dxa"/>
              <w:right w:w="90" w:type="dxa"/>
            </w:tcMar>
            <w:shd w:fill="E7EDF3"/>
          </w:tcPr>
          <w:p>
            <w:pPr>
              <w:spacing w:after="20" w:before="20" w:line="240" w:lineRule="auto"/>
              <w:jc w:val="left"/>
            </w:pPr>
            <w:r>
              <w:rPr>
                <w:b/>
                <w:sz w:val="19"/>
              </w:rPr>
              <w:t xml:space="preserve">Status in RAX-CQG v0.1</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Ordnungs-, Intervall- und Amplitudenkern</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Endlich definiert</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Bahnformel, Nilpotenz, Zweischichtenidentität</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Elementar hergeleitet</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Positivität der Vektorkonstruktion</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Elementar hergeleitet</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Quantaler deterministischer Pushforward</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Strukturerhaltung hergeleitet</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Physische Rand- und Materiedynamik</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Offen</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Eigene KR-Unterdrückung im vollständigen Modell</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Nicht nachgewiesen</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Dynamische Hauptvermutung DH</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Forschungsziel</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Emergenz der Quantenstruktur selbst</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Eigenständige offene Hypothese</w:t>
            </w:r>
          </w:p>
        </w:tc>
      </w:tr>
      <w:tr>
        <w:trPr>
          <w:cantSplit/>
        </w:trPr>
        <w:tc>
          <w:tcPr>
            <w:tcW w:type="dxa" w:w="2381"/>
            <w:vAlign w:val="center"/>
            <w:tcMar>
              <w:top w:w="80" w:type="dxa"/>
              <w:bottom w:w="80" w:type="dxa"/>
              <w:left w:w="90" w:type="dxa"/>
              <w:right w:w="90" w:type="dxa"/>
            </w:tcMar>
            <w:shd w:fill="FFFFFF"/>
          </w:tcPr>
          <w:p>
            <w:pPr>
              <w:spacing w:after="20" w:before="20" w:line="240" w:lineRule="auto"/>
              <w:jc w:val="left"/>
            </w:pPr>
            <w:r>
              <w:rPr>
                <w:sz w:val="19"/>
              </w:rPr>
              <w:t xml:space="preserve">Singularitätsauflösung</w:t>
            </w:r>
          </w:p>
        </w:tc>
        <w:tc>
          <w:tcPr>
            <w:tcW w:type="dxa" w:w="7257"/>
            <w:vAlign w:val="center"/>
            <w:tcMar>
              <w:top w:w="80" w:type="dxa"/>
              <w:bottom w:w="80" w:type="dxa"/>
              <w:left w:w="90" w:type="dxa"/>
              <w:right w:w="90" w:type="dxa"/>
            </w:tcMar>
            <w:shd w:fill="FFFFFF"/>
          </w:tcPr>
          <w:p>
            <w:pPr>
              <w:spacing w:after="20" w:before="20" w:line="240" w:lineRule="auto"/>
              <w:jc w:val="left"/>
            </w:pPr>
            <w:r>
              <w:rPr>
                <w:sz w:val="19"/>
              </w:rPr>
              <w:t xml:space="preserve">Nicht nachgewiesen</w:t>
            </w:r>
          </w:p>
        </w:tc>
      </w:tr>
      <w:tr>
        <w:trPr>
          <w:cantSplit/>
        </w:trPr>
        <w:tc>
          <w:tcPr>
            <w:tcW w:type="dxa" w:w="2381"/>
            <w:vAlign w:val="center"/>
            <w:tcMar>
              <w:top w:w="80" w:type="dxa"/>
              <w:bottom w:w="80" w:type="dxa"/>
              <w:left w:w="90" w:type="dxa"/>
              <w:right w:w="90" w:type="dxa"/>
            </w:tcMar>
            <w:shd w:fill="F7F8FA"/>
          </w:tcPr>
          <w:p>
            <w:pPr>
              <w:spacing w:after="20" w:before="20" w:line="240" w:lineRule="auto"/>
              <w:jc w:val="left"/>
            </w:pPr>
            <w:r>
              <w:rPr>
                <w:sz w:val="19"/>
              </w:rPr>
              <w:t xml:space="preserve">Neue CQG-Simulations- oder Messdaten</w:t>
            </w:r>
          </w:p>
        </w:tc>
        <w:tc>
          <w:tcPr>
            <w:tcW w:type="dxa" w:w="7257"/>
            <w:vAlign w:val="center"/>
            <w:tcMar>
              <w:top w:w="80" w:type="dxa"/>
              <w:bottom w:w="80" w:type="dxa"/>
              <w:left w:w="90" w:type="dxa"/>
              <w:right w:w="90" w:type="dxa"/>
            </w:tcMar>
            <w:shd w:fill="F7F8FA"/>
          </w:tcPr>
          <w:p>
            <w:pPr>
              <w:spacing w:after="20" w:before="20" w:line="240" w:lineRule="auto"/>
              <w:jc w:val="left"/>
            </w:pPr>
            <w:r>
              <w:rPr>
                <w:sz w:val="19"/>
              </w:rPr>
              <w:t xml:space="preserve">In dieser Fassung keine</w:t>
            </w:r>
          </w:p>
        </w:tc>
      </w:tr>
    </w:tbl>
    <w:p>
      <w:pPr>
        <w:pStyle w:val="BodyText"/>
        <w:widowControl/>
      </w:pPr>
      <w:r>
        <w:t xml:space="preserve">Die Architektur ist vollständig hinsichtlich der benannten Module, Schnittstellen und Beweisaufgaben. Sie ist bewusst keine vollständig gelöste mathematische oder etablierte physikalische Theorie. Ihre erste belastbare Leistung wird ein reproduzierbarer endlicher Kern sein, der auch die vorgegebenen Gegenbeispiele korrekt erkennt.</w:t>
      </w:r>
    </w:p>
    <w:bookmarkEnd w:id="51"/>
    <w:sectPr w:rsidR="00FC693F" w:rsidRPr="0006063C" w:rsidSect="00034616">
      <w:footerReference w:type="default" r:id="rId9"/>
      <w:pgSz w:h="16838" w:w="11906"/>
      <w:pgMar w:bottom="1020" w:footer="397" w:gutter="0" w:header="397" w:left="1134" w:right="1134" w:top="10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66666"/>
        <w:sz w:val="16"/>
      </w:rPr>
      <w:t xml:space="preserve">RAX-CQG 0.1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embedSystemFonts/>
  <w:stylePaneFormatFilter w:val="0004"/>
  <w:footnotePr>
    <w:footnote w:id="-1"/>
    <w:footnote w:id="0"/>
  </w:footnotePr>
  <w:doNotTrackMoves/>
  <w:drawingGridHorizontalSpacing w:val="360"/>
  <w:drawingGridVerticalSpacing w:val="360"/>
  <w:displayHorizontalDrawingGridEvery w:val="0"/>
  <w:displayVerticalDrawingGridEvery w:val="0"/>
  <w:rsids>
  </w:rsids>
  <w:clrSchemeMapping w:accent1="accent1" w:accent2="accent2" w:accent3="accent3" w:accent4="accent4" w:accent5="accent5" w:accent6="accent6" w:bg1="light1" w:bg2="light2" w:followedHyperlink="followedHyperlink" w:hyperlink="hyperlink" w:t1="dark1" w:t2="dark2"/>
  <w:zoom w:val="bestFit"/>
  <w:proofState w:grammar="clean"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eastAsia="ja-JP" w:val="en-U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de-CH"/>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widowControl/>
      <w:spacing w:after="140" w:line="254" w:lineRule="auto"/>
    </w:pPr>
    <w:rPr>
      <w:rFonts w:ascii="Calibri" w:hAnsi="Calibri"/>
      <w:color w:val="000000"/>
      <w:sz w:val="21"/>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000000"/>
      <w:sz w:val="21"/>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000000"/>
      <w:sz w:val="21"/>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200" w:before="0"/>
      <w:outlineLvl w:val="0"/>
    </w:pPr>
    <w:rPr>
      <w:rFonts w:ascii="Calibri" w:asciiTheme="majorHAnsi" w:cstheme="majorBidi" w:eastAsiaTheme="majorEastAsia" w:hAnsi="Calibri" w:hAnsiTheme="majorHAnsi"/>
      <w:b/>
      <w:bCs/>
      <w:color w:val="000000"/>
      <w:sz w:val="30"/>
      <w:szCs w:val="28"/>
    </w:rPr>
  </w:style>
  <w:style w:styleId="Heading2" w:type="paragraph">
    <w:name w:val="heading 2"/>
    <w:basedOn w:val="Normal"/>
    <w:next w:val="Normal"/>
    <w:link w:val="Heading2Char"/>
    <w:uiPriority w:val="9"/>
    <w:unhideWhenUsed/>
    <w:qFormat/>
    <w:rsid w:val="00FC693F"/>
    <w:pPr>
      <w:keepNext/>
      <w:keepLines/>
      <w:spacing w:after="200" w:before="200"/>
      <w:outlineLvl w:val="1"/>
    </w:pPr>
    <w:rPr>
      <w:rFonts w:ascii="Calibri" w:asciiTheme="majorHAnsi" w:cstheme="majorBidi" w:eastAsiaTheme="majorEastAsia" w:hAnsi="Calibri" w:hAnsiTheme="majorHAnsi"/>
      <w:b/>
      <w:bCs/>
      <w:color w:val="000000"/>
      <w:sz w:val="23"/>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Calibri" w:asciiTheme="majorHAnsi" w:cstheme="majorBidi" w:eastAsiaTheme="majorEastAsia" w:hAnsi="Calibri" w:hAnsiTheme="majorHAnsi"/>
      <w:b/>
      <w:bCs/>
      <w:color w:val="000000"/>
      <w:sz w:val="21"/>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Calibri" w:asciiTheme="majorHAnsi" w:cstheme="majorBidi" w:eastAsiaTheme="majorEastAsia" w:hAnsi="Calibri" w:hAnsiTheme="majorHAnsi"/>
      <w:b/>
      <w:bCs/>
      <w:i/>
      <w:iCs/>
      <w:color w:val="000000"/>
      <w:sz w:val="21"/>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Calibri" w:asciiTheme="majorHAnsi" w:cstheme="majorBidi" w:eastAsiaTheme="majorEastAsia" w:hAnsi="Calibri" w:hAnsiTheme="majorHAnsi"/>
      <w:color w:val="000000"/>
      <w:sz w:val="21"/>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Calibri" w:asciiTheme="majorHAnsi" w:cstheme="majorBidi" w:eastAsiaTheme="majorEastAsia" w:hAnsi="Calibri" w:hAnsiTheme="majorHAnsi"/>
      <w:i/>
      <w:iCs/>
      <w:color w:val="000000"/>
      <w:sz w:val="21"/>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Calibri" w:asciiTheme="majorHAnsi" w:cstheme="majorBidi" w:eastAsiaTheme="majorEastAsia" w:hAnsi="Calibri" w:hAnsiTheme="majorHAnsi"/>
      <w:i/>
      <w:iCs/>
      <w:color w:val="000000"/>
      <w:sz w:val="21"/>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Calibri" w:asciiTheme="majorHAnsi" w:cstheme="majorBidi" w:eastAsiaTheme="majorEastAsia" w:hAnsi="Calibri" w:hAnsiTheme="majorHAnsi"/>
      <w:color w:val="000000"/>
      <w:sz w:val="21"/>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Calibri" w:asciiTheme="majorHAnsi" w:cstheme="majorBidi" w:eastAsiaTheme="majorEastAsia" w:hAnsi="Calibri" w:hAnsiTheme="majorHAnsi"/>
      <w:i/>
      <w:iCs/>
      <w:color w:val="000000"/>
      <w:sz w:val="21"/>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rPr>
      <w:rFonts w:ascii="Calibri" w:hAnsi="Calibri"/>
      <w:color w:val="000000"/>
      <w:sz w:val="21"/>
    </w:r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spacing w:after="200" w:before="0" w:line="240" w:lineRule="auto"/>
      <w:contextualSpacing/>
    </w:pPr>
    <w:rPr>
      <w:rFonts w:ascii="Calibri" w:asciiTheme="majorHAnsi" w:cstheme="majorBidi" w:eastAsiaTheme="majorEastAsia" w:hAnsi="Calibri" w:hAnsiTheme="majorHAnsi"/>
      <w:color w:val="000000"/>
      <w:spacing w:val="5"/>
      <w:kern w:val="28"/>
      <w:sz w:val="50"/>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200" w:before="0"/>
    </w:pPr>
    <w:rPr>
      <w:rFonts w:ascii="Calibri" w:asciiTheme="majorHAnsi" w:cstheme="majorBidi" w:eastAsiaTheme="majorEastAsia" w:hAnsi="Calibri" w:hAnsiTheme="majorHAnsi"/>
      <w:i/>
      <w:iCs/>
      <w:color w:val="000000"/>
      <w:spacing w:val="15"/>
      <w:sz w:val="26"/>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rPr>
      <w:rFonts w:ascii="Calibri" w:hAnsi="Calibri"/>
      <w:color w:val="000000"/>
      <w:sz w:val="21"/>
    </w:rPr>
  </w:style>
  <w:style w:styleId="BodyText" w:type="paragraph">
    <w:name w:val="Body Text"/>
    <w:basedOn w:val="Normal"/>
    <w:link w:val="BodyTextChar"/>
    <w:uiPriority w:val="99"/>
    <w:unhideWhenUsed/>
    <w:rsid w:val="00AA1D8D"/>
    <w:pPr>
      <w:spacing w:after="120"/>
    </w:pPr>
    <w:rPr>
      <w:rFonts w:ascii="Calibri" w:hAnsi="Calibri"/>
      <w:color w:val="000000"/>
      <w:sz w:val="21"/>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rPr>
      <w:rFonts w:ascii="Calibri" w:hAnsi="Calibri"/>
      <w:color w:val="000000"/>
      <w:sz w:val="21"/>
    </w:r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rFonts w:ascii="Calibri" w:hAnsi="Calibri"/>
      <w:color w:val="000000"/>
      <w:sz w:val="21"/>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rPr>
      <w:rFonts w:ascii="Calibri" w:hAnsi="Calibri"/>
      <w:color w:val="000000"/>
      <w:sz w:val="21"/>
    </w:rPr>
  </w:style>
  <w:style w:styleId="List2" w:type="paragraph">
    <w:name w:val="List 2"/>
    <w:basedOn w:val="Normal"/>
    <w:uiPriority w:val="99"/>
    <w:unhideWhenUsed/>
    <w:rsid w:val="00326F90"/>
    <w:pPr>
      <w:ind w:hanging="360" w:left="720"/>
      <w:contextualSpacing/>
    </w:pPr>
    <w:rPr>
      <w:rFonts w:ascii="Calibri" w:hAnsi="Calibri"/>
      <w:color w:val="000000"/>
      <w:sz w:val="21"/>
    </w:rPr>
  </w:style>
  <w:style w:styleId="List3" w:type="paragraph">
    <w:name w:val="List 3"/>
    <w:basedOn w:val="Normal"/>
    <w:uiPriority w:val="99"/>
    <w:unhideWhenUsed/>
    <w:rsid w:val="00326F90"/>
    <w:pPr>
      <w:ind w:hanging="360" w:left="1080"/>
      <w:contextualSpacing/>
    </w:pPr>
    <w:rPr>
      <w:rFonts w:ascii="Calibri" w:hAnsi="Calibri"/>
      <w:color w:val="000000"/>
      <w:sz w:val="21"/>
    </w:rPr>
  </w:style>
  <w:style w:styleId="ListBullet" w:type="paragraph">
    <w:name w:val="List Bullet"/>
    <w:basedOn w:val="Normal"/>
    <w:uiPriority w:val="99"/>
    <w:unhideWhenUsed/>
    <w:rsid w:val="00326F90"/>
    <w:pPr>
      <w:numPr>
        <w:numId w:val="1"/>
      </w:numPr>
      <w:contextualSpacing/>
    </w:pPr>
    <w:rPr>
      <w:rFonts w:ascii="Calibri" w:hAnsi="Calibri"/>
      <w:color w:val="000000"/>
      <w:sz w:val="21"/>
    </w:rPr>
  </w:style>
  <w:style w:styleId="ListBullet2" w:type="paragraph">
    <w:name w:val="List Bullet 2"/>
    <w:basedOn w:val="Normal"/>
    <w:uiPriority w:val="99"/>
    <w:unhideWhenUsed/>
    <w:rsid w:val="00326F90"/>
    <w:pPr>
      <w:numPr>
        <w:numId w:val="2"/>
      </w:numPr>
      <w:contextualSpacing/>
    </w:pPr>
    <w:rPr>
      <w:rFonts w:ascii="Calibri" w:hAnsi="Calibri"/>
      <w:color w:val="000000"/>
      <w:sz w:val="21"/>
    </w:rPr>
  </w:style>
  <w:style w:styleId="ListBullet3" w:type="paragraph">
    <w:name w:val="List Bullet 3"/>
    <w:basedOn w:val="Normal"/>
    <w:uiPriority w:val="99"/>
    <w:unhideWhenUsed/>
    <w:rsid w:val="00326F90"/>
    <w:pPr>
      <w:numPr>
        <w:numId w:val="3"/>
      </w:numPr>
      <w:contextualSpacing/>
    </w:pPr>
    <w:rPr>
      <w:rFonts w:ascii="Calibri" w:hAnsi="Calibri"/>
      <w:color w:val="000000"/>
      <w:sz w:val="21"/>
    </w:rPr>
  </w:style>
  <w:style w:styleId="ListNumber" w:type="paragraph">
    <w:name w:val="List Number"/>
    <w:basedOn w:val="Normal"/>
    <w:uiPriority w:val="99"/>
    <w:unhideWhenUsed/>
    <w:rsid w:val="00326F90"/>
    <w:pPr>
      <w:numPr>
        <w:numId w:val="5"/>
      </w:numPr>
      <w:contextualSpacing/>
    </w:pPr>
    <w:rPr>
      <w:rFonts w:ascii="Calibri" w:hAnsi="Calibri"/>
      <w:color w:val="000000"/>
      <w:sz w:val="21"/>
    </w:rPr>
  </w:style>
  <w:style w:styleId="ListNumber2" w:type="paragraph">
    <w:name w:val="List Number 2"/>
    <w:basedOn w:val="Normal"/>
    <w:uiPriority w:val="99"/>
    <w:unhideWhenUsed/>
    <w:rsid w:val="0029639D"/>
    <w:pPr>
      <w:numPr>
        <w:numId w:val="6"/>
      </w:numPr>
      <w:contextualSpacing/>
    </w:pPr>
    <w:rPr>
      <w:rFonts w:ascii="Calibri" w:hAnsi="Calibri"/>
      <w:color w:val="000000"/>
      <w:sz w:val="21"/>
    </w:rPr>
  </w:style>
  <w:style w:styleId="ListNumber3" w:type="paragraph">
    <w:name w:val="List Number 3"/>
    <w:basedOn w:val="Normal"/>
    <w:uiPriority w:val="99"/>
    <w:unhideWhenUsed/>
    <w:rsid w:val="0029639D"/>
    <w:pPr>
      <w:numPr>
        <w:numId w:val="7"/>
      </w:numPr>
      <w:contextualSpacing/>
    </w:pPr>
    <w:rPr>
      <w:rFonts w:ascii="Calibri" w:hAnsi="Calibri"/>
      <w:color w:val="000000"/>
      <w:sz w:val="21"/>
    </w:rPr>
  </w:style>
  <w:style w:styleId="ListContinue" w:type="paragraph">
    <w:name w:val="List Continue"/>
    <w:basedOn w:val="Normal"/>
    <w:uiPriority w:val="99"/>
    <w:unhideWhenUsed/>
    <w:rsid w:val="0029639D"/>
    <w:pPr>
      <w:spacing w:after="120"/>
      <w:ind w:left="360"/>
      <w:contextualSpacing/>
    </w:pPr>
    <w:rPr>
      <w:rFonts w:ascii="Calibri" w:hAnsi="Calibri"/>
      <w:color w:val="000000"/>
      <w:sz w:val="21"/>
    </w:rPr>
  </w:style>
  <w:style w:styleId="ListContinue2" w:type="paragraph">
    <w:name w:val="List Continue 2"/>
    <w:basedOn w:val="Normal"/>
    <w:uiPriority w:val="99"/>
    <w:unhideWhenUsed/>
    <w:rsid w:val="0029639D"/>
    <w:pPr>
      <w:spacing w:after="120"/>
      <w:ind w:left="720"/>
      <w:contextualSpacing/>
    </w:pPr>
    <w:rPr>
      <w:rFonts w:ascii="Calibri" w:hAnsi="Calibri"/>
      <w:color w:val="000000"/>
      <w:sz w:val="21"/>
    </w:rPr>
  </w:style>
  <w:style w:styleId="ListContinue3" w:type="paragraph">
    <w:name w:val="List Continue 3"/>
    <w:basedOn w:val="Normal"/>
    <w:uiPriority w:val="99"/>
    <w:unhideWhenUsed/>
    <w:rsid w:val="0029639D"/>
    <w:pPr>
      <w:spacing w:after="120"/>
      <w:ind w:left="1080"/>
      <w:contextualSpacing/>
    </w:pPr>
    <w:rPr>
      <w:rFonts w:ascii="Calibri" w:hAnsi="Calibri"/>
      <w:color w:val="000000"/>
      <w:sz w:val="21"/>
    </w:r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alibri" w:hAnsi="Calibri"/>
      <w:color w:val="000000"/>
      <w:sz w:val="21"/>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rFonts w:ascii="Calibri" w:hAnsi="Calibri"/>
      <w:i/>
      <w:iCs/>
      <w:color w:val="000000"/>
      <w:sz w:val="21"/>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rFonts w:ascii="Calibri" w:hAnsi="Calibri"/>
      <w:b/>
      <w:bCs/>
      <w:color w:val="000000"/>
      <w:sz w:val="21"/>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spacing w:after="280" w:before="200"/>
      <w:ind w:left="936" w:right="936"/>
    </w:pPr>
    <w:rPr>
      <w:rFonts w:ascii="Calibri" w:hAnsi="Calibri"/>
      <w:b/>
      <w:bCs/>
      <w:i/>
      <w:iCs/>
      <w:color w:val="000000"/>
      <w:sz w:val="21"/>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rPr>
      <w:rFonts w:ascii="Calibri" w:hAnsi="Calibri"/>
      <w:color w:val="000000"/>
      <w:sz w:val="21"/>
    </w:r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3" Type="http://schemas.openxmlformats.org/officeDocument/2006/relationships/hyperlink" Target="https://arxiv.org/abs/0909.0944" TargetMode="External"/><Relationship Id="rId37" Type="http://schemas.openxmlformats.org/officeDocument/2006/relationships/hyperlink" Target="https://arxiv.org/abs/1001.2725v4" TargetMode="External"/><Relationship Id="rId38" Type="http://schemas.openxmlformats.org/officeDocument/2006/relationships/hyperlink" Target="https://arxiv.org/abs/1305.2588v2" TargetMode="External"/><Relationship Id="rId39" Type="http://schemas.openxmlformats.org/officeDocument/2006/relationships/hyperlink" Target="https://arxiv.org/abs/2007.13206" TargetMode="External"/><Relationship Id="rId50" Type="http://schemas.openxmlformats.org/officeDocument/2006/relationships/hyperlink" Target="https://arxiv.org/abs/2108.07296" TargetMode="External"/><Relationship Id="rId44" Type="http://schemas.openxmlformats.org/officeDocument/2006/relationships/hyperlink" Target="https://arxiv.org/abs/2209.00327" TargetMode="External"/><Relationship Id="rId45" Type="http://schemas.openxmlformats.org/officeDocument/2006/relationships/hyperlink" Target="https://arxiv.org/abs/2311.18238v2" TargetMode="External"/><Relationship Id="rId48" Type="http://schemas.openxmlformats.org/officeDocument/2006/relationships/hyperlink" Target="https://arxiv.org/abs/2504.10380" TargetMode="External"/><Relationship Id="rId47" Type="http://schemas.openxmlformats.org/officeDocument/2006/relationships/hyperlink" Target="https://arxiv.org/abs/2506.10852" TargetMode="External"/><Relationship Id="rId49" Type="http://schemas.openxmlformats.org/officeDocument/2006/relationships/hyperlink" Target="https://arxiv.org/abs/2507.01907v1" TargetMode="External"/><Relationship Id="rId41" Type="http://schemas.openxmlformats.org/officeDocument/2006/relationships/hyperlink" Target="https://arxiv.org/abs/gr-qc/9401003" TargetMode="External"/><Relationship Id="rId42" Type="http://schemas.openxmlformats.org/officeDocument/2006/relationships/hyperlink" Target="https://doi.org/10.1103/PhysicsPhysiqueFizika.1.195" TargetMode="External"/><Relationship Id="rId40" Type="http://schemas.openxmlformats.org/officeDocument/2006/relationships/hyperlink" Target="https://www.cambridge.org/core/journals/mathematical-structures-in-computer-science/article/abs/toward-a-fundamental-theorem-of-quantal-measure-theory/4C28820DE3B988D6B1147182CF120900" TargetMode="Externa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43" Type="http://schemas.openxmlformats.org/officeDocument/2006/relationships/hyperlink" Target="https://arxiv.org/abs/0909.0944" TargetMode="External"/><Relationship Id="rId37" Type="http://schemas.openxmlformats.org/officeDocument/2006/relationships/hyperlink" Target="https://arxiv.org/abs/1001.2725v4" TargetMode="External"/><Relationship Id="rId38" Type="http://schemas.openxmlformats.org/officeDocument/2006/relationships/hyperlink" Target="https://arxiv.org/abs/1305.2588v2" TargetMode="External"/><Relationship Id="rId39" Type="http://schemas.openxmlformats.org/officeDocument/2006/relationships/hyperlink" Target="https://arxiv.org/abs/2007.13206" TargetMode="External"/><Relationship Id="rId50" Type="http://schemas.openxmlformats.org/officeDocument/2006/relationships/hyperlink" Target="https://arxiv.org/abs/2108.07296" TargetMode="External"/><Relationship Id="rId44" Type="http://schemas.openxmlformats.org/officeDocument/2006/relationships/hyperlink" Target="https://arxiv.org/abs/2209.00327" TargetMode="External"/><Relationship Id="rId45" Type="http://schemas.openxmlformats.org/officeDocument/2006/relationships/hyperlink" Target="https://arxiv.org/abs/2311.18238v2" TargetMode="External"/><Relationship Id="rId48" Type="http://schemas.openxmlformats.org/officeDocument/2006/relationships/hyperlink" Target="https://arxiv.org/abs/2504.10380" TargetMode="External"/><Relationship Id="rId47" Type="http://schemas.openxmlformats.org/officeDocument/2006/relationships/hyperlink" Target="https://arxiv.org/abs/2506.10852" TargetMode="External"/><Relationship Id="rId49" Type="http://schemas.openxmlformats.org/officeDocument/2006/relationships/hyperlink" Target="https://arxiv.org/abs/2507.01907v1" TargetMode="External"/><Relationship Id="rId41" Type="http://schemas.openxmlformats.org/officeDocument/2006/relationships/hyperlink" Target="https://arxiv.org/abs/gr-qc/9401003" TargetMode="External"/><Relationship Id="rId42" Type="http://schemas.openxmlformats.org/officeDocument/2006/relationships/hyperlink" Target="https://doi.org/10.1103/PhysicsPhysiqueFizika.1.195" TargetMode="External"/><Relationship Id="rId40" Type="http://schemas.openxmlformats.org/officeDocument/2006/relationships/hyperlink" Target="https://www.cambridge.org/core/journals/mathematical-structures-in-computer-science/article/abs/toward-a-fundamental-theorem-of-quantal-measure-theory/4C28820DE3B988D6B1147182CF120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RAX CQG Forschungsarchitektur</dc:title>
  <dc:creator>Thomas Gfeller</dc:creator>
  <dc:language>de-CH</dc:language>
  <cp:keywords/>
  <dcterms:created xsi:type="dcterms:W3CDTF">2026-10-16T07:03:52Z</dcterms:created>
  <dcterms:modified xsi:type="dcterms:W3CDTF">2026-10-16T07:03:52Z</dcterms:modified>
  <dc:subject>Relational kausales Modell und effektive Quantendynamik</dc:subject>
  <dc:description>Forschungsarchitektur Version 0.1 vom 16. Oktober 2026</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Relational kausales Modell und effektive Quantendynamik</vt:lpwstr>
  </property>
</Properties>
</file>